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b/>
          <w:sz w:val="36"/>
          <w:szCs w:val="36"/>
        </w:rPr>
        <w:sectPr>
          <w:headerReference r:id="rId4" w:type="default"/>
          <w:footerReference r:id="rId5" w:type="default"/>
          <w:pgSz w:w="11907" w:h="16160"/>
          <w:pgMar w:top="1418" w:right="1418" w:bottom="1418" w:left="1701" w:header="737" w:footer="397" w:gutter="0"/>
          <w:pgNumType w:fmt="upperRoman" w:start="1"/>
          <w:cols w:space="720" w:num="1"/>
          <w:docGrid w:type="linesAndChars" w:linePitch="312" w:charSpace="0"/>
        </w:sectPr>
      </w:pPr>
      <w:r>
        <w:pict>
          <v:shape id="文本框 30" o:spid="_x0000_s1031" o:spt="202" type="#_x0000_t202" style="position:absolute;left:0pt;margin-left:0.3pt;margin-top:607.6pt;height:52.5pt;width:596.25pt;mso-position-horizontal-relative:page;z-index:251661312;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m+YAIAAJIEAAAOAAAAZHJzL2Uyb0RvYy54bWysVM2O0zAQviPxDpbvNP0vGzVdla6KkMru&#10;Sl2056njNBGJx9huk/IA8AacuHDnufocjN2fLQsnxMUaZ8bfzHzzTcbXTVWyrTS2QJXwTqvNmVQC&#10;00KtE/7hYf7qNWfWgUqhRCUTvpOWX09evhjXOpZdzLFMpWEEomxc64Tnzuk4iqzIZQW2hVoqcmZo&#10;KnB0NesoNVATelVG3XZ7GNVoUm1QSGvp683ByScBP8ukcHdZZqVjZcKpNhdOE86VP6PJGOK1AZ0X&#10;4lgG/EMVFRSKkp6hbsAB25jiD6iqEAYtZq4lsIowywohQw/UTaf9rJtlDlqGXogcq8802f8HK263&#10;94YVacKviB4FFc1o/+3r/vvP/Y8vrBcIqrWNKW6pKdI1b7ChQYdmrV6g+GiZwlkOai2nxmCdS0ip&#10;wI6nNrp46kdiY+tBVvV7TCkRbBwGoCYzlWeP+GCETpXszsORjWOCPo4Go25vNOBMkG84HI4GobgI&#10;4tNrbax7K7Fi3ki4oeEHdNgurPPVQHwK8ckUzouyDAIoFasJtEeQv3noRamObfjKDz24ZtXQM9/O&#10;CtMdNWTwICyrxbyg5Auw7h4MKYlaoe1wd3RkJVISPFqc5Wg+/+27j6cBk5ezmpSZcPtpA0ZyVr5T&#10;xOxVp9/3Ug6XPrFCF3PpWV161KaaIYm/Q3uoRTB9vCtPZmaweqQlmvqs5AIlKHfC3cmcucO+0BIK&#10;OZ2GIBKvBrdQSy1OYvDUPjSPYPSRf0eTu8WThiF+NoZD7IHuKQkhK8KMnlg98k7CD6M7LqnfrMt7&#10;iHr6lUx+AQAA//8DAFBLAwQUAAYACAAAACEAZVk8UOQAAAAQAQAADwAAAGRycy9kb3ducmV2Lnht&#10;bExPS2/CMAy+T9p/iDxpt5E2CMRKU4Q6oUnTdoBx4ZY2pq3Io2sCdPv1M6ftYtn+7O+Rr0Zr2AWH&#10;0HknIZ0kwNDVXneukbD/3DwtgIWonFbGO5TwjQFWxf1drjLtr26Ll11sGJG4kCkJbYx9xnmoW7Qq&#10;THyPjrCjH6yKNA4N14O6Erk1XCTJnFvVOVJoVY9li/Vpd7YS3srNh9pWwi5+TPn6flz3X/vDTMrH&#10;h/FlSWW9BBZxjH8fcMtA/qEgY5U/Ox2YkTCnO9qKdCaA3fD0eZoCq6ibikQAL3L+P0jxCwAA//8D&#10;AFBLAQItABQABgAIAAAAIQC2gziS/gAAAOEBAAATAAAAAAAAAAAAAAAAAAAAAABbQ29udGVudF9U&#10;eXBlc10ueG1sUEsBAi0AFAAGAAgAAAAhADj9If/WAAAAlAEAAAsAAAAAAAAAAAAAAAAALwEAAF9y&#10;ZWxzLy5yZWxzUEsBAi0AFAAGAAgAAAAhAOOiyb5gAgAAkgQAAA4AAAAAAAAAAAAAAAAALgIAAGRy&#10;cy9lMm9Eb2MueG1sUEsBAi0AFAAGAAgAAAAhAGVZPFDkAAAAEAEAAA8AAAAAAAAAAAAAAAAAugQA&#10;AGRycy9kb3ducmV2LnhtbFBLBQYAAAAABAAEAPMAAADLBQAAAAA=&#10;">
            <v:path/>
            <v:fill on="f" focussize="0,0"/>
            <v:stroke on="f" weight="0.5pt" joinstyle="miter"/>
            <v:imagedata o:title=""/>
            <o:lock v:ext="edit"/>
            <v:textbox>
              <w:txbxContent>
                <w:p>
                  <w:pPr>
                    <w:jc w:val="center"/>
                    <w:rPr>
                      <w:rFonts w:ascii="黑体" w:hAnsi="黑体" w:eastAsia="黑体"/>
                      <w:color w:val="000000" w:themeColor="text1"/>
                      <w14:textFill>
                        <w14:solidFill>
                          <w14:schemeClr w14:val="tx1"/>
                        </w14:solidFill>
                      </w14:textFill>
                    </w:rPr>
                  </w:pPr>
                  <w:r>
                    <w:rPr>
                      <w:rFonts w:hint="eastAsia" w:ascii="黑体" w:hAnsi="黑体" w:eastAsia="黑体" w:cs="仿宋_GB2312"/>
                      <w:color w:val="000000" w:themeColor="text1"/>
                      <w:sz w:val="28"/>
                      <w:szCs w:val="28"/>
                      <w14:textFill>
                        <w14:solidFill>
                          <w14:schemeClr w14:val="tx1"/>
                        </w14:solidFill>
                      </w14:textFill>
                    </w:rPr>
                    <w:t xml:space="preserve">荆楚理工学院 </w:t>
                  </w:r>
                  <w:r>
                    <w:rPr>
                      <w:rFonts w:ascii="黑体" w:hAnsi="黑体" w:eastAsia="黑体" w:cs="仿宋_GB2312"/>
                      <w:color w:val="000000" w:themeColor="text1"/>
                      <w:sz w:val="28"/>
                      <w:szCs w:val="28"/>
                      <w14:textFill>
                        <w14:solidFill>
                          <w14:schemeClr w14:val="tx1"/>
                        </w14:solidFill>
                      </w14:textFill>
                    </w:rPr>
                    <w:t xml:space="preserve"> </w:t>
                  </w:r>
                  <w:r>
                    <w:rPr>
                      <w:rFonts w:hint="eastAsia" w:ascii="黑体" w:hAnsi="黑体" w:eastAsia="黑体" w:cs="仿宋_GB2312"/>
                      <w:color w:val="000000" w:themeColor="text1"/>
                      <w:sz w:val="28"/>
                      <w:szCs w:val="28"/>
                      <w14:textFill>
                        <w14:solidFill>
                          <w14:schemeClr w14:val="tx1"/>
                        </w14:solidFill>
                      </w14:textFill>
                    </w:rPr>
                    <w:t>编</w:t>
                  </w:r>
                </w:p>
              </w:txbxContent>
            </v:textbox>
          </v:shape>
        </w:pict>
      </w:r>
      <w:r>
        <w:rPr>
          <w:rFonts w:ascii="Calibri Light" w:hAnsi="Calibri Light"/>
          <w:sz w:val="20"/>
          <w:szCs w:val="20"/>
        </w:rPr>
        <w:pict>
          <v:shape id="文本框 103" o:spid="_x0000_s1030" o:spt="202" type="#_x0000_t202" style="position:absolute;left:0pt;margin-left:-85.05pt;margin-top:119.6pt;height:184.5pt;width:595.5pt;mso-position-horizontal-relative:margin;z-index:251666432;mso-width-relative:page;mso-height-relative:page;" filled="f" stroked="f" coordsize="21600,21600">
            <v:path/>
            <v:fill on="f" focussize="0,0"/>
            <v:stroke on="f" joinstyle="miter"/>
            <v:imagedata o:title=""/>
            <o:lock v:ext="edit"/>
            <v:textbox>
              <w:txbxContent>
                <w:p>
                  <w:pPr>
                    <w:jc w:val="center"/>
                    <w:rPr>
                      <w:rFonts w:ascii="微软雅黑" w:hAnsi="微软雅黑" w:eastAsia="微软雅黑"/>
                      <w:b/>
                      <w:color w:val="0F6FC6" w:themeColor="accent5"/>
                      <w:sz w:val="72"/>
                      <w:szCs w:val="80"/>
                      <w14:textFill>
                        <w14:solidFill>
                          <w14:schemeClr w14:val="accent5"/>
                        </w14:solidFill>
                      </w14:textFill>
                    </w:rPr>
                  </w:pPr>
                  <w:r>
                    <w:rPr>
                      <w:rFonts w:hint="eastAsia" w:ascii="微软雅黑" w:hAnsi="微软雅黑" w:eastAsia="微软雅黑"/>
                      <w:b/>
                      <w:color w:val="0F6FC6" w:themeColor="accent5"/>
                      <w:sz w:val="72"/>
                      <w:szCs w:val="80"/>
                      <w14:textFill>
                        <w14:solidFill>
                          <w14:schemeClr w14:val="accent5"/>
                        </w14:solidFill>
                      </w14:textFill>
                    </w:rPr>
                    <w:t>荆楚理工学院</w:t>
                  </w:r>
                </w:p>
                <w:p>
                  <w:pPr>
                    <w:jc w:val="center"/>
                    <w:rPr>
                      <w:rFonts w:ascii="微软雅黑" w:hAnsi="微软雅黑" w:eastAsia="微软雅黑"/>
                      <w:b/>
                      <w:color w:val="0F6FC6" w:themeColor="accent5"/>
                      <w:sz w:val="48"/>
                      <w:szCs w:val="36"/>
                      <w14:textFill>
                        <w14:solidFill>
                          <w14:schemeClr w14:val="accent5"/>
                        </w14:solidFill>
                      </w14:textFill>
                    </w:rPr>
                  </w:pPr>
                  <w:r>
                    <w:rPr>
                      <w:rFonts w:ascii="Times New Roman" w:hAnsi="Times New Roman"/>
                      <w:b/>
                      <w:color w:val="0F6FC6" w:themeColor="accent5"/>
                      <w:sz w:val="48"/>
                      <w:szCs w:val="36"/>
                      <w14:textFill>
                        <w14:solidFill>
                          <w14:schemeClr w14:val="accent5"/>
                        </w14:solidFill>
                      </w14:textFill>
                    </w:rPr>
                    <w:t>2021</w:t>
                  </w:r>
                  <w:r>
                    <w:rPr>
                      <w:rFonts w:hint="eastAsia" w:ascii="微软雅黑" w:hAnsi="微软雅黑" w:eastAsia="微软雅黑"/>
                      <w:b/>
                      <w:color w:val="0F6FC6" w:themeColor="accent5"/>
                      <w:sz w:val="48"/>
                      <w:szCs w:val="36"/>
                      <w14:textFill>
                        <w14:solidFill>
                          <w14:schemeClr w14:val="accent5"/>
                        </w14:solidFill>
                      </w14:textFill>
                    </w:rPr>
                    <w:t>届毕业生就业质量</w:t>
                  </w:r>
                  <w:r>
                    <w:rPr>
                      <w:rFonts w:ascii="微软雅黑" w:hAnsi="微软雅黑" w:eastAsia="微软雅黑"/>
                      <w:b/>
                      <w:color w:val="0F6FC6" w:themeColor="accent5"/>
                      <w:sz w:val="48"/>
                      <w:szCs w:val="36"/>
                      <w14:textFill>
                        <w14:solidFill>
                          <w14:schemeClr w14:val="accent5"/>
                        </w14:solidFill>
                      </w14:textFill>
                    </w:rPr>
                    <w:t>年度</w:t>
                  </w:r>
                  <w:r>
                    <w:rPr>
                      <w:rFonts w:hint="eastAsia" w:ascii="微软雅黑" w:hAnsi="微软雅黑" w:eastAsia="微软雅黑"/>
                      <w:b/>
                      <w:color w:val="0F6FC6" w:themeColor="accent5"/>
                      <w:sz w:val="48"/>
                      <w:szCs w:val="36"/>
                      <w14:textFill>
                        <w14:solidFill>
                          <w14:schemeClr w14:val="accent5"/>
                        </w14:solidFill>
                      </w14:textFill>
                    </w:rPr>
                    <w:t>报告</w:t>
                  </w:r>
                </w:p>
              </w:txbxContent>
            </v:textbox>
          </v:shape>
        </w:pict>
      </w:r>
      <w:r>
        <w:rPr>
          <w:rFonts w:ascii="Times New Roman" w:hAnsi="Times New Roman" w:eastAsia="黑体"/>
          <w:b/>
          <w:sz w:val="36"/>
          <w:szCs w:val="36"/>
        </w:rPr>
        <w:drawing>
          <wp:anchor distT="0" distB="0" distL="114300" distR="114300" simplePos="0" relativeHeight="251667456" behindDoc="1" locked="0" layoutInCell="1" allowOverlap="1">
            <wp:simplePos x="0" y="0"/>
            <wp:positionH relativeFrom="column">
              <wp:posOffset>-1089660</wp:posOffset>
            </wp:positionH>
            <wp:positionV relativeFrom="paragraph">
              <wp:posOffset>-881380</wp:posOffset>
            </wp:positionV>
            <wp:extent cx="7570470" cy="1023874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670" cy="10240363"/>
                    </a:xfrm>
                    <a:prstGeom prst="rect">
                      <a:avLst/>
                    </a:prstGeom>
                  </pic:spPr>
                </pic:pic>
              </a:graphicData>
            </a:graphic>
          </wp:anchor>
        </w:drawing>
      </w:r>
      <w:bookmarkStart w:id="0" w:name="_Hlk79589552"/>
      <w:bookmarkEnd w:id="0"/>
      <w:r>
        <w:rPr>
          <w:rFonts w:ascii="Times New Roman" w:hAnsi="Times New Roman" w:eastAsia="黑体"/>
          <w:b/>
          <w:sz w:val="36"/>
          <w:szCs w:val="36"/>
        </w:rPr>
        <w:br w:type="page"/>
      </w:r>
    </w:p>
    <w:p>
      <w:pPr>
        <w:pStyle w:val="164"/>
        <w:spacing w:after="312"/>
        <w:rPr>
          <w:color w:val="FFFFFF"/>
        </w:rPr>
      </w:pPr>
      <w:r>
        <w:rPr>
          <w:color w:val="FFFFFF"/>
        </w:rPr>
        <w:t>目</w:t>
      </w:r>
      <w:r>
        <w:rPr>
          <w:rFonts w:hint="eastAsia"/>
          <w:color w:val="FFFFFF"/>
        </w:rPr>
        <w:t xml:space="preserve"> </w:t>
      </w:r>
      <w:r>
        <w:rPr>
          <w:color w:val="FFFFFF"/>
        </w:rPr>
        <w:t>录</w:t>
      </w:r>
    </w:p>
    <w:p>
      <w:pPr>
        <w:pStyle w:val="21"/>
        <w:tabs>
          <w:tab w:val="right" w:leader="dot" w:pos="8778"/>
        </w:tabs>
        <w:rPr>
          <w:rFonts w:asciiTheme="minorHAnsi" w:hAnsiTheme="minorHAnsi" w:eastAsiaTheme="minorEastAsia" w:cstheme="minorBidi"/>
          <w:b w:val="0"/>
          <w:bCs w:val="0"/>
          <w:caps w:val="0"/>
          <w:color w:val="auto"/>
          <w:kern w:val="2"/>
          <w:sz w:val="21"/>
        </w:rPr>
      </w:pPr>
      <w:r>
        <w:rPr>
          <w:rFonts w:eastAsiaTheme="minorEastAsia"/>
          <w:b w:val="0"/>
          <w:bCs w:val="0"/>
          <w:caps w:val="0"/>
          <w:sz w:val="20"/>
          <w:szCs w:val="22"/>
        </w:rPr>
        <w:fldChar w:fldCharType="begin"/>
      </w:r>
      <w:r>
        <w:rPr>
          <w:rFonts w:eastAsiaTheme="minorEastAsia"/>
          <w:b w:val="0"/>
          <w:bCs w:val="0"/>
          <w:caps w:val="0"/>
          <w:sz w:val="20"/>
          <w:szCs w:val="22"/>
        </w:rPr>
        <w:instrText xml:space="preserve"> TOC \o "1-3" \h \z \u </w:instrText>
      </w:r>
      <w:r>
        <w:rPr>
          <w:rFonts w:eastAsiaTheme="minorEastAsia"/>
          <w:b w:val="0"/>
          <w:bCs w:val="0"/>
          <w:caps w:val="0"/>
          <w:sz w:val="20"/>
          <w:szCs w:val="22"/>
        </w:rPr>
        <w:fldChar w:fldCharType="separate"/>
      </w:r>
      <w:r>
        <w:fldChar w:fldCharType="begin"/>
      </w:r>
      <w:r>
        <w:instrText xml:space="preserve"> HYPERLINK \l "_Toc92706696" </w:instrText>
      </w:r>
      <w:r>
        <w:fldChar w:fldCharType="separate"/>
      </w:r>
      <w:r>
        <w:rPr>
          <w:rStyle w:val="39"/>
          <w:rFonts w:ascii="Calibri" w:hAnsi="Calibri" w:eastAsia="黑体"/>
        </w:rPr>
        <w:t>学校概况</w:t>
      </w:r>
      <w:r>
        <w:tab/>
      </w:r>
      <w:r>
        <w:fldChar w:fldCharType="begin"/>
      </w:r>
      <w:r>
        <w:instrText xml:space="preserve"> PAGEREF _Toc92706696 \h </w:instrText>
      </w:r>
      <w:r>
        <w:fldChar w:fldCharType="separate"/>
      </w:r>
      <w:r>
        <w:t>I</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"_Toc92706697" </w:instrText>
      </w:r>
      <w:r>
        <w:fldChar w:fldCharType="separate"/>
      </w:r>
      <w:r>
        <w:rPr>
          <w:rStyle w:val="39"/>
          <w:rFonts w:ascii="Calibri" w:hAnsi="Calibri" w:eastAsia="黑体"/>
        </w:rPr>
        <w:t>报告说明</w:t>
      </w:r>
      <w:r>
        <w:tab/>
      </w:r>
      <w:r>
        <w:fldChar w:fldCharType="begin"/>
      </w:r>
      <w:r>
        <w:instrText xml:space="preserve"> PAGEREF _Toc92706697 \h </w:instrText>
      </w:r>
      <w:r>
        <w:fldChar w:fldCharType="separate"/>
      </w:r>
      <w:r>
        <w:t>IV</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"_Toc92706698" </w:instrText>
      </w:r>
      <w:r>
        <w:fldChar w:fldCharType="separate"/>
      </w:r>
      <w:r>
        <w:rPr>
          <w:rStyle w:val="39"/>
          <w:rFonts w:ascii="Calibri" w:hAnsi="Calibri" w:eastAsia="黑体"/>
        </w:rPr>
        <w:t>总体结论</w:t>
      </w:r>
      <w:r>
        <w:tab/>
      </w:r>
      <w:r>
        <w:fldChar w:fldCharType="begin"/>
      </w:r>
      <w:r>
        <w:instrText xml:space="preserve"> PAGEREF _Toc92706698 \h </w:instrText>
      </w:r>
      <w:r>
        <w:fldChar w:fldCharType="separate"/>
      </w:r>
      <w:r>
        <w:t>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"_Toc92706699" </w:instrText>
      </w:r>
      <w:r>
        <w:fldChar w:fldCharType="separate"/>
      </w:r>
      <w:r>
        <w:rPr>
          <w:rStyle w:val="39"/>
        </w:rPr>
        <w:t>一、毕业去向及落实率</w:t>
      </w:r>
      <w:r>
        <w:tab/>
      </w:r>
      <w:r>
        <w:fldChar w:fldCharType="begin"/>
      </w:r>
      <w:r>
        <w:instrText xml:space="preserve"> PAGEREF _Toc92706699 \h </w:instrText>
      </w:r>
      <w:r>
        <w:fldChar w:fldCharType="separate"/>
      </w:r>
      <w:r>
        <w:t>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"_Toc92706700" </w:instrText>
      </w:r>
      <w:r>
        <w:fldChar w:fldCharType="separate"/>
      </w:r>
      <w:r>
        <w:rPr>
          <w:rStyle w:val="39"/>
        </w:rPr>
        <w:t>二、就业分布</w:t>
      </w:r>
      <w:r>
        <w:tab/>
      </w:r>
      <w:r>
        <w:fldChar w:fldCharType="begin"/>
      </w:r>
      <w:r>
        <w:instrText xml:space="preserve"> PAGEREF _Toc92706700 \h </w:instrText>
      </w:r>
      <w:r>
        <w:fldChar w:fldCharType="separate"/>
      </w:r>
      <w:r>
        <w:t>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"_Toc92706701" </w:instrText>
      </w:r>
      <w:r>
        <w:fldChar w:fldCharType="separate"/>
      </w:r>
      <w:r>
        <w:rPr>
          <w:rStyle w:val="39"/>
        </w:rPr>
        <w:t>三、就业质量</w:t>
      </w:r>
      <w:r>
        <w:tab/>
      </w:r>
      <w:r>
        <w:fldChar w:fldCharType="begin"/>
      </w:r>
      <w:r>
        <w:instrText xml:space="preserve"> PAGEREF _Toc92706701 \h </w:instrText>
      </w:r>
      <w:r>
        <w:fldChar w:fldCharType="separate"/>
      </w:r>
      <w:r>
        <w:t>2</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"_Toc92706702" </w:instrText>
      </w:r>
      <w:r>
        <w:fldChar w:fldCharType="separate"/>
      </w:r>
      <w:r>
        <w:rPr>
          <w:rStyle w:val="39"/>
        </w:rPr>
        <w:t>四、对人才培养的评价</w:t>
      </w:r>
      <w:r>
        <w:tab/>
      </w:r>
      <w:r>
        <w:fldChar w:fldCharType="begin"/>
      </w:r>
      <w:r>
        <w:instrText xml:space="preserve"> PAGEREF _Toc92706702 \h </w:instrText>
      </w:r>
      <w:r>
        <w:fldChar w:fldCharType="separate"/>
      </w:r>
      <w:r>
        <w:t>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"_Toc92706703" </w:instrText>
      </w:r>
      <w:r>
        <w:fldChar w:fldCharType="separate"/>
      </w:r>
      <w:r>
        <w:rPr>
          <w:rStyle w:val="39"/>
        </w:rPr>
        <w:t>五、对就业教育/服务的评价</w:t>
      </w:r>
      <w:r>
        <w:tab/>
      </w:r>
      <w:r>
        <w:fldChar w:fldCharType="begin"/>
      </w:r>
      <w:r>
        <w:instrText xml:space="preserve"> PAGEREF _Toc92706703 \h </w:instrText>
      </w:r>
      <w:r>
        <w:fldChar w:fldCharType="separate"/>
      </w:r>
      <w:r>
        <w:t>4</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"_Toc92706704" </w:instrText>
      </w:r>
      <w:r>
        <w:fldChar w:fldCharType="separate"/>
      </w:r>
      <w:r>
        <w:rPr>
          <w:rStyle w:val="39"/>
          <w:rFonts w:ascii="Calibri" w:hAnsi="Calibri" w:eastAsia="黑体"/>
        </w:rPr>
        <w:t>第一篇：毕业生供需情况</w:t>
      </w:r>
      <w:r>
        <w:tab/>
      </w:r>
      <w:r>
        <w:fldChar w:fldCharType="begin"/>
      </w:r>
      <w:r>
        <w:instrText xml:space="preserve"> PAGEREF _Toc92706704 \h </w:instrText>
      </w:r>
      <w:r>
        <w:fldChar w:fldCharType="separate"/>
      </w:r>
      <w:r>
        <w:t>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"_Toc92706705" </w:instrText>
      </w:r>
      <w:r>
        <w:fldChar w:fldCharType="separate"/>
      </w:r>
      <w:r>
        <w:rPr>
          <w:rStyle w:val="39"/>
        </w:rPr>
        <w:t>一、规模和结构</w:t>
      </w:r>
      <w:r>
        <w:tab/>
      </w:r>
      <w:r>
        <w:fldChar w:fldCharType="begin"/>
      </w:r>
      <w:r>
        <w:instrText xml:space="preserve"> PAGEREF _Toc92706705 \h </w:instrText>
      </w:r>
      <w:r>
        <w:fldChar w:fldCharType="separate"/>
      </w:r>
      <w:r>
        <w:t>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"_Toc92706706" </w:instrText>
      </w:r>
      <w:r>
        <w:fldChar w:fldCharType="separate"/>
      </w:r>
      <w:r>
        <w:rPr>
          <w:rStyle w:val="39"/>
        </w:rPr>
        <w:t>（一）总体规模</w:t>
      </w:r>
      <w:r>
        <w:tab/>
      </w:r>
      <w:r>
        <w:fldChar w:fldCharType="begin"/>
      </w:r>
      <w:r>
        <w:instrText xml:space="preserve"> PAGEREF _Toc92706706 \h </w:instrText>
      </w:r>
      <w:r>
        <w:fldChar w:fldCharType="separate"/>
      </w:r>
      <w:r>
        <w:t>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"_Toc92706707" </w:instrText>
      </w:r>
      <w:r>
        <w:fldChar w:fldCharType="separate"/>
      </w:r>
      <w:r>
        <w:rPr>
          <w:rStyle w:val="39"/>
        </w:rPr>
        <w:t>（二）学科结构</w:t>
      </w:r>
      <w:r>
        <w:tab/>
      </w:r>
      <w:r>
        <w:fldChar w:fldCharType="begin"/>
      </w:r>
      <w:r>
        <w:instrText xml:space="preserve"> PAGEREF _Toc92706707 \h </w:instrText>
      </w:r>
      <w:r>
        <w:fldChar w:fldCharType="separate"/>
      </w:r>
      <w:r>
        <w:t>7</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"_Toc92706708" </w:instrText>
      </w:r>
      <w:r>
        <w:fldChar w:fldCharType="separate"/>
      </w:r>
      <w:r>
        <w:rPr>
          <w:rStyle w:val="39"/>
        </w:rPr>
        <w:t>（三）学院与专业结构</w:t>
      </w:r>
      <w:r>
        <w:tab/>
      </w:r>
      <w:r>
        <w:fldChar w:fldCharType="begin"/>
      </w:r>
      <w:r>
        <w:instrText xml:space="preserve"> PAGEREF _Toc92706708 \h </w:instrText>
      </w:r>
      <w:r>
        <w:fldChar w:fldCharType="separate"/>
      </w:r>
      <w:r>
        <w:t>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"_Toc92706709" </w:instrText>
      </w:r>
      <w:r>
        <w:fldChar w:fldCharType="separate"/>
      </w:r>
      <w:r>
        <w:rPr>
          <w:rStyle w:val="39"/>
        </w:rPr>
        <w:t>（四）民族结构</w:t>
      </w:r>
      <w:r>
        <w:tab/>
      </w:r>
      <w:r>
        <w:fldChar w:fldCharType="begin"/>
      </w:r>
      <w:r>
        <w:instrText xml:space="preserve"> PAGEREF _Toc92706709 \h </w:instrText>
      </w:r>
      <w:r>
        <w:fldChar w:fldCharType="separate"/>
      </w:r>
      <w:r>
        <w:t>10</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"_Toc92706710" </w:instrText>
      </w:r>
      <w:r>
        <w:fldChar w:fldCharType="separate"/>
      </w:r>
      <w:r>
        <w:rPr>
          <w:rStyle w:val="39"/>
        </w:rPr>
        <w:t>（五）生源结构</w:t>
      </w:r>
      <w:r>
        <w:tab/>
      </w:r>
      <w:r>
        <w:fldChar w:fldCharType="begin"/>
      </w:r>
      <w:r>
        <w:instrText xml:space="preserve"> PAGEREF _Toc92706710 \h </w:instrText>
      </w:r>
      <w:r>
        <w:fldChar w:fldCharType="separate"/>
      </w:r>
      <w:r>
        <w:t>11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"_Toc92706711" </w:instrText>
      </w:r>
      <w:r>
        <w:fldChar w:fldCharType="separate"/>
      </w:r>
      <w:r>
        <w:rPr>
          <w:rStyle w:val="39"/>
        </w:rPr>
        <w:t>二、毕业生需求情况</w:t>
      </w:r>
      <w:r>
        <w:tab/>
      </w:r>
      <w:r>
        <w:fldChar w:fldCharType="begin"/>
      </w:r>
      <w:r>
        <w:instrText xml:space="preserve"> PAGEREF _Toc92706711 \h </w:instrText>
      </w:r>
      <w:r>
        <w:fldChar w:fldCharType="separate"/>
      </w:r>
      <w:r>
        <w:t>12</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"_Toc92706712" </w:instrText>
      </w:r>
      <w:r>
        <w:fldChar w:fldCharType="separate"/>
      </w:r>
      <w:r>
        <w:rPr>
          <w:rStyle w:val="39"/>
          <w:rFonts w:ascii="Calibri" w:hAnsi="Calibri" w:eastAsia="黑体"/>
        </w:rPr>
        <w:t>第二篇：毕业生就业基本情况</w:t>
      </w:r>
      <w:r>
        <w:tab/>
      </w:r>
      <w:r>
        <w:fldChar w:fldCharType="begin"/>
      </w:r>
      <w:r>
        <w:instrText xml:space="preserve"> PAGEREF _Toc92706712 \h </w:instrText>
      </w:r>
      <w:r>
        <w:fldChar w:fldCharType="separate"/>
      </w:r>
      <w:r>
        <w:t>16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"_Toc92706713" </w:instrText>
      </w:r>
      <w:r>
        <w:fldChar w:fldCharType="separate"/>
      </w:r>
      <w:r>
        <w:rPr>
          <w:rStyle w:val="39"/>
        </w:rPr>
        <w:t>一、毕业去向及落实率</w:t>
      </w:r>
      <w:r>
        <w:tab/>
      </w:r>
      <w:r>
        <w:fldChar w:fldCharType="begin"/>
      </w:r>
      <w:r>
        <w:instrText xml:space="preserve"> PAGEREF _Toc92706713 \h </w:instrText>
      </w:r>
      <w:r>
        <w:fldChar w:fldCharType="separate"/>
      </w:r>
      <w:r>
        <w:t>16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"_Toc92706714" </w:instrText>
      </w:r>
      <w:r>
        <w:fldChar w:fldCharType="separate"/>
      </w:r>
      <w:r>
        <w:rPr>
          <w:rStyle w:val="39"/>
        </w:rPr>
        <w:t>（一）总体毕业去向及落实率</w:t>
      </w:r>
      <w:r>
        <w:tab/>
      </w:r>
      <w:r>
        <w:fldChar w:fldCharType="begin"/>
      </w:r>
      <w:r>
        <w:instrText xml:space="preserve"> PAGEREF _Toc92706714 \h </w:instrText>
      </w:r>
      <w:r>
        <w:fldChar w:fldCharType="separate"/>
      </w:r>
      <w:r>
        <w:t>16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"_Toc92706715" </w:instrText>
      </w:r>
      <w:r>
        <w:fldChar w:fldCharType="separate"/>
      </w:r>
      <w:r>
        <w:rPr>
          <w:rStyle w:val="39"/>
        </w:rPr>
        <w:t>（二）各学院毕业去向落实率</w:t>
      </w:r>
      <w:r>
        <w:tab/>
      </w:r>
      <w:r>
        <w:fldChar w:fldCharType="begin"/>
      </w:r>
      <w:r>
        <w:instrText xml:space="preserve"> PAGEREF _Toc92706715 \h </w:instrText>
      </w:r>
      <w:r>
        <w:fldChar w:fldCharType="separate"/>
      </w:r>
      <w:r>
        <w:t>18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"_Toc92706716" </w:instrText>
      </w:r>
      <w:r>
        <w:fldChar w:fldCharType="separate"/>
      </w:r>
      <w:r>
        <w:rPr>
          <w:rStyle w:val="39"/>
        </w:rPr>
        <w:t>（三）各专业毕业去向落实率</w:t>
      </w:r>
      <w:r>
        <w:tab/>
      </w:r>
      <w:r>
        <w:fldChar w:fldCharType="begin"/>
      </w:r>
      <w:r>
        <w:instrText xml:space="preserve"> PAGEREF _Toc92706716 \h </w:instrText>
      </w:r>
      <w:r>
        <w:fldChar w:fldCharType="separate"/>
      </w:r>
      <w:r>
        <w:t>19</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"_Toc92706717" </w:instrText>
      </w:r>
      <w:r>
        <w:fldChar w:fldCharType="separate"/>
      </w:r>
      <w:r>
        <w:rPr>
          <w:rStyle w:val="39"/>
        </w:rPr>
        <w:t>（四）不同特征群体毕业去向落实率</w:t>
      </w:r>
      <w:r>
        <w:tab/>
      </w:r>
      <w:r>
        <w:fldChar w:fldCharType="begin"/>
      </w:r>
      <w:r>
        <w:instrText xml:space="preserve"> PAGEREF _Toc92706717 \h </w:instrText>
      </w:r>
      <w:r>
        <w:fldChar w:fldCharType="separate"/>
      </w:r>
      <w:r>
        <w:t>21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"_Toc92706718" </w:instrText>
      </w:r>
      <w:r>
        <w:fldChar w:fldCharType="separate"/>
      </w:r>
      <w:r>
        <w:rPr>
          <w:rStyle w:val="39"/>
        </w:rPr>
        <w:t>二、社会贡献度</w:t>
      </w:r>
      <w:r>
        <w:tab/>
      </w:r>
      <w:r>
        <w:fldChar w:fldCharType="begin"/>
      </w:r>
      <w:r>
        <w:instrText xml:space="preserve"> PAGEREF _Toc92706718 \h </w:instrText>
      </w:r>
      <w:r>
        <w:fldChar w:fldCharType="separate"/>
      </w:r>
      <w:r>
        <w:t>23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"_Toc92706719" </w:instrText>
      </w:r>
      <w:r>
        <w:fldChar w:fldCharType="separate"/>
      </w:r>
      <w:r>
        <w:rPr>
          <w:rStyle w:val="39"/>
        </w:rPr>
        <w:t>（一）就业地区</w:t>
      </w:r>
      <w:r>
        <w:tab/>
      </w:r>
      <w:r>
        <w:fldChar w:fldCharType="begin"/>
      </w:r>
      <w:r>
        <w:instrText xml:space="preserve"> PAGEREF _Toc92706719 \h </w:instrText>
      </w:r>
      <w:r>
        <w:fldChar w:fldCharType="separate"/>
      </w:r>
      <w:r>
        <w:t>23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"_Toc92706720" </w:instrText>
      </w:r>
      <w:r>
        <w:fldChar w:fldCharType="separate"/>
      </w:r>
      <w:r>
        <w:rPr>
          <w:rStyle w:val="39"/>
        </w:rPr>
        <w:t>（二）就业行业</w:t>
      </w:r>
      <w:r>
        <w:tab/>
      </w:r>
      <w:r>
        <w:fldChar w:fldCharType="begin"/>
      </w:r>
      <w:r>
        <w:instrText xml:space="preserve"> PAGEREF _Toc92706720 \h </w:instrText>
      </w:r>
      <w:r>
        <w:fldChar w:fldCharType="separate"/>
      </w:r>
      <w:r>
        <w:t>27</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"_Toc92706721" </w:instrText>
      </w:r>
      <w:r>
        <w:fldChar w:fldCharType="separate"/>
      </w:r>
      <w:r>
        <w:rPr>
          <w:rStyle w:val="39"/>
        </w:rPr>
        <w:t>（三）就业职业</w:t>
      </w:r>
      <w:r>
        <w:tab/>
      </w:r>
      <w:r>
        <w:fldChar w:fldCharType="begin"/>
      </w:r>
      <w:r>
        <w:instrText xml:space="preserve"> PAGEREF _Toc92706721 \h </w:instrText>
      </w:r>
      <w:r>
        <w:fldChar w:fldCharType="separate"/>
      </w:r>
      <w:r>
        <w:t>29</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"_Toc92706722" </w:instrText>
      </w:r>
      <w:r>
        <w:fldChar w:fldCharType="separate"/>
      </w:r>
      <w:r>
        <w:rPr>
          <w:rStyle w:val="39"/>
        </w:rPr>
        <w:t>（四）就业单位</w:t>
      </w:r>
      <w:r>
        <w:tab/>
      </w:r>
      <w:r>
        <w:fldChar w:fldCharType="begin"/>
      </w:r>
      <w:r>
        <w:instrText xml:space="preserve"> PAGEREF _Toc92706722 \h </w:instrText>
      </w:r>
      <w:r>
        <w:fldChar w:fldCharType="separate"/>
      </w:r>
      <w:r>
        <w:t>30</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"_Toc92706723" </w:instrText>
      </w:r>
      <w:r>
        <w:fldChar w:fldCharType="separate"/>
      </w:r>
      <w:r>
        <w:rPr>
          <w:rStyle w:val="39"/>
        </w:rPr>
        <w:t>四、升学深造</w:t>
      </w:r>
      <w:r>
        <w:tab/>
      </w:r>
      <w:r>
        <w:fldChar w:fldCharType="begin"/>
      </w:r>
      <w:r>
        <w:instrText xml:space="preserve"> PAGEREF _Toc92706723 \h </w:instrText>
      </w:r>
      <w:r>
        <w:fldChar w:fldCharType="separate"/>
      </w:r>
      <w:r>
        <w:t>31</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"_Toc92706724" </w:instrText>
      </w:r>
      <w:r>
        <w:fldChar w:fldCharType="separate"/>
      </w:r>
      <w:r>
        <w:rPr>
          <w:rStyle w:val="39"/>
        </w:rPr>
        <w:t>（一）国内升学</w:t>
      </w:r>
      <w:r>
        <w:tab/>
      </w:r>
      <w:r>
        <w:fldChar w:fldCharType="begin"/>
      </w:r>
      <w:r>
        <w:instrText xml:space="preserve"> PAGEREF _Toc92706724 \h </w:instrText>
      </w:r>
      <w:r>
        <w:fldChar w:fldCharType="separate"/>
      </w:r>
      <w:r>
        <w:t>31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"_Toc92706725" </w:instrText>
      </w:r>
      <w:r>
        <w:fldChar w:fldCharType="separate"/>
      </w:r>
      <w:r>
        <w:rPr>
          <w:rStyle w:val="39"/>
        </w:rPr>
        <w:t>五、求职过程分析</w:t>
      </w:r>
      <w:r>
        <w:tab/>
      </w:r>
      <w:r>
        <w:fldChar w:fldCharType="begin"/>
      </w:r>
      <w:r>
        <w:instrText xml:space="preserve"> PAGEREF _Toc92706725 \h </w:instrText>
      </w:r>
      <w:r>
        <w:fldChar w:fldCharType="separate"/>
      </w:r>
      <w:r>
        <w:t>33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"_Toc92706726" </w:instrText>
      </w:r>
      <w:r>
        <w:fldChar w:fldCharType="separate"/>
      </w:r>
      <w:r>
        <w:rPr>
          <w:rStyle w:val="39"/>
        </w:rPr>
        <w:t>（一）获取招聘信息来源</w:t>
      </w:r>
      <w:r>
        <w:tab/>
      </w:r>
      <w:r>
        <w:fldChar w:fldCharType="begin"/>
      </w:r>
      <w:r>
        <w:instrText xml:space="preserve"> PAGEREF _Toc92706726 \h </w:instrText>
      </w:r>
      <w:r>
        <w:fldChar w:fldCharType="separate"/>
      </w:r>
      <w:r>
        <w:t>33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"_Toc92706727" </w:instrText>
      </w:r>
      <w:r>
        <w:fldChar w:fldCharType="separate"/>
      </w:r>
      <w:r>
        <w:rPr>
          <w:rStyle w:val="39"/>
        </w:rPr>
        <w:t>（二）择业关注因素</w:t>
      </w:r>
      <w:r>
        <w:tab/>
      </w:r>
      <w:r>
        <w:fldChar w:fldCharType="begin"/>
      </w:r>
      <w:r>
        <w:instrText xml:space="preserve"> PAGEREF _Toc92706727 \h </w:instrText>
      </w:r>
      <w:r>
        <w:fldChar w:fldCharType="separate"/>
      </w:r>
      <w:r>
        <w:t>34</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"_Toc92706728" </w:instrText>
      </w:r>
      <w:r>
        <w:fldChar w:fldCharType="separate"/>
      </w:r>
      <w:r>
        <w:rPr>
          <w:rStyle w:val="39"/>
        </w:rPr>
        <w:t>（三）求职成功途径</w:t>
      </w:r>
      <w:r>
        <w:tab/>
      </w:r>
      <w:r>
        <w:fldChar w:fldCharType="begin"/>
      </w:r>
      <w:r>
        <w:instrText xml:space="preserve"> PAGEREF _Toc92706728 \h </w:instrText>
      </w:r>
      <w:r>
        <w:fldChar w:fldCharType="separate"/>
      </w:r>
      <w:r>
        <w:t>35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"_Toc92706729" </w:instrText>
      </w:r>
      <w:r>
        <w:fldChar w:fldCharType="separate"/>
      </w:r>
      <w:r>
        <w:rPr>
          <w:rStyle w:val="39"/>
        </w:rPr>
        <w:t>（四）求职成功的影响因素</w:t>
      </w:r>
      <w:r>
        <w:tab/>
      </w:r>
      <w:r>
        <w:fldChar w:fldCharType="begin"/>
      </w:r>
      <w:r>
        <w:instrText xml:space="preserve"> PAGEREF _Toc92706729 \h </w:instrText>
      </w:r>
      <w:r>
        <w:fldChar w:fldCharType="separate"/>
      </w:r>
      <w:r>
        <w:t>36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"_Toc92706730" </w:instrText>
      </w:r>
      <w:r>
        <w:fldChar w:fldCharType="separate"/>
      </w:r>
      <w:r>
        <w:rPr>
          <w:rStyle w:val="39"/>
        </w:rPr>
        <w:t>六、待就业群体分析</w:t>
      </w:r>
      <w:r>
        <w:tab/>
      </w:r>
      <w:r>
        <w:fldChar w:fldCharType="begin"/>
      </w:r>
      <w:r>
        <w:instrText xml:space="preserve"> PAGEREF _Toc92706730 \h </w:instrText>
      </w:r>
      <w:r>
        <w:fldChar w:fldCharType="separate"/>
      </w:r>
      <w:r>
        <w:t>37</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"_Toc92706731" </w:instrText>
      </w:r>
      <w:r>
        <w:fldChar w:fldCharType="separate"/>
      </w:r>
      <w:r>
        <w:rPr>
          <w:rStyle w:val="39"/>
        </w:rPr>
        <w:t>（一）尚未落实工作的原因</w:t>
      </w:r>
      <w:r>
        <w:tab/>
      </w:r>
      <w:r>
        <w:fldChar w:fldCharType="begin"/>
      </w:r>
      <w:r>
        <w:instrText xml:space="preserve"> PAGEREF _Toc92706731 \h </w:instrText>
      </w:r>
      <w:r>
        <w:fldChar w:fldCharType="separate"/>
      </w:r>
      <w:r>
        <w:t>38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"_Toc92706732" </w:instrText>
      </w:r>
      <w:r>
        <w:fldChar w:fldCharType="separate"/>
      </w:r>
      <w:r>
        <w:rPr>
          <w:rStyle w:val="39"/>
        </w:rPr>
        <w:t>（二）期望就业单位</w:t>
      </w:r>
      <w:r>
        <w:tab/>
      </w:r>
      <w:r>
        <w:fldChar w:fldCharType="begin"/>
      </w:r>
      <w:r>
        <w:instrText xml:space="preserve"> PAGEREF _Toc92706732 \h </w:instrText>
      </w:r>
      <w:r>
        <w:fldChar w:fldCharType="separate"/>
      </w:r>
      <w:r>
        <w:t>38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"_Toc92706733" </w:instrText>
      </w:r>
      <w:r>
        <w:fldChar w:fldCharType="separate"/>
      </w:r>
      <w:r>
        <w:rPr>
          <w:rStyle w:val="39"/>
        </w:rPr>
        <w:t>（三）需要提升的就业能力</w:t>
      </w:r>
      <w:r>
        <w:tab/>
      </w:r>
      <w:r>
        <w:fldChar w:fldCharType="begin"/>
      </w:r>
      <w:r>
        <w:instrText xml:space="preserve"> PAGEREF _Toc92706733 \h </w:instrText>
      </w:r>
      <w:r>
        <w:fldChar w:fldCharType="separate"/>
      </w:r>
      <w:r>
        <w:t>39</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"_Toc92706734" </w:instrText>
      </w:r>
      <w:r>
        <w:fldChar w:fldCharType="separate"/>
      </w:r>
      <w:r>
        <w:rPr>
          <w:rStyle w:val="39"/>
          <w:rFonts w:ascii="Calibri" w:hAnsi="Calibri" w:eastAsia="黑体"/>
        </w:rPr>
        <w:t>第三篇：就业创业工作举措</w:t>
      </w:r>
      <w:r>
        <w:tab/>
      </w:r>
      <w:r>
        <w:fldChar w:fldCharType="begin"/>
      </w:r>
      <w:r>
        <w:instrText xml:space="preserve"> PAGEREF _Toc92706734 \h </w:instrText>
      </w:r>
      <w:r>
        <w:fldChar w:fldCharType="separate"/>
      </w:r>
      <w:r>
        <w:t>42</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"_Toc92706735" </w:instrText>
      </w:r>
      <w:r>
        <w:fldChar w:fldCharType="separate"/>
      </w:r>
      <w:r>
        <w:rPr>
          <w:rStyle w:val="39"/>
        </w:rPr>
        <w:t>一、高度重视，全员参与抓就业</w:t>
      </w:r>
      <w:r>
        <w:tab/>
      </w:r>
      <w:r>
        <w:fldChar w:fldCharType="begin"/>
      </w:r>
      <w:r>
        <w:instrText xml:space="preserve"> PAGEREF _Toc92706735 \h </w:instrText>
      </w:r>
      <w:r>
        <w:fldChar w:fldCharType="separate"/>
      </w:r>
      <w:r>
        <w:t>42</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"_Toc92706736" </w:instrText>
      </w:r>
      <w:r>
        <w:fldChar w:fldCharType="separate"/>
      </w:r>
      <w:r>
        <w:rPr>
          <w:rStyle w:val="39"/>
        </w:rPr>
        <w:t>二、千方百计，上下联动稳就业</w:t>
      </w:r>
      <w:r>
        <w:tab/>
      </w:r>
      <w:r>
        <w:fldChar w:fldCharType="begin"/>
      </w:r>
      <w:r>
        <w:instrText xml:space="preserve"> PAGEREF _Toc92706736 \h </w:instrText>
      </w:r>
      <w:r>
        <w:fldChar w:fldCharType="separate"/>
      </w:r>
      <w:r>
        <w:t>42</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"_Toc92706737" </w:instrText>
      </w:r>
      <w:r>
        <w:fldChar w:fldCharType="separate"/>
      </w:r>
      <w:r>
        <w:rPr>
          <w:rStyle w:val="39"/>
        </w:rPr>
        <w:t>三、细化服务，精准指导促就业</w:t>
      </w:r>
      <w:r>
        <w:tab/>
      </w:r>
      <w:r>
        <w:fldChar w:fldCharType="begin"/>
      </w:r>
      <w:r>
        <w:instrText xml:space="preserve"> PAGEREF _Toc92706737 \h </w:instrText>
      </w:r>
      <w:r>
        <w:fldChar w:fldCharType="separate"/>
      </w:r>
      <w:r>
        <w:t>43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"_Toc92706738" </w:instrText>
      </w:r>
      <w:r>
        <w:fldChar w:fldCharType="separate"/>
      </w:r>
      <w:r>
        <w:rPr>
          <w:rStyle w:val="39"/>
        </w:rPr>
        <w:t>四、摸清底数，重点帮扶保就业</w:t>
      </w:r>
      <w:r>
        <w:tab/>
      </w:r>
      <w:r>
        <w:fldChar w:fldCharType="begin"/>
      </w:r>
      <w:r>
        <w:instrText xml:space="preserve"> PAGEREF _Toc92706738 \h </w:instrText>
      </w:r>
      <w:r>
        <w:fldChar w:fldCharType="separate"/>
      </w:r>
      <w:r>
        <w:t>43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"_Toc92706739" </w:instrText>
      </w:r>
      <w:r>
        <w:fldChar w:fldCharType="separate"/>
      </w:r>
      <w:r>
        <w:rPr>
          <w:rStyle w:val="39"/>
        </w:rPr>
        <w:t>五、加强教育，创新创业</w:t>
      </w:r>
      <w:r>
        <w:rPr>
          <w:rStyle w:val="39"/>
          <w:rFonts w:hint="eastAsia"/>
          <w:color w:val="auto"/>
          <w:lang w:eastAsia="zh-CN"/>
        </w:rPr>
        <w:t>带</w:t>
      </w:r>
      <w:r>
        <w:rPr>
          <w:rStyle w:val="39"/>
        </w:rPr>
        <w:t>就业</w:t>
      </w:r>
      <w:r>
        <w:tab/>
      </w:r>
      <w:r>
        <w:fldChar w:fldCharType="begin"/>
      </w:r>
      <w:r>
        <w:instrText xml:space="preserve"> PAGEREF _Toc92706739 \h </w:instrText>
      </w:r>
      <w:r>
        <w:fldChar w:fldCharType="separate"/>
      </w:r>
      <w:r>
        <w:t>44</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"_Toc92706740" </w:instrText>
      </w:r>
      <w:r>
        <w:fldChar w:fldCharType="separate"/>
      </w:r>
      <w:r>
        <w:rPr>
          <w:rStyle w:val="39"/>
          <w:rFonts w:ascii="Calibri" w:hAnsi="Calibri" w:eastAsia="黑体"/>
        </w:rPr>
        <w:t>第四篇：就业质量相关分析</w:t>
      </w:r>
      <w:r>
        <w:tab/>
      </w:r>
      <w:r>
        <w:fldChar w:fldCharType="begin"/>
      </w:r>
      <w:r>
        <w:instrText xml:space="preserve"> PAGEREF _Toc92706740 \h </w:instrText>
      </w:r>
      <w:r>
        <w:fldChar w:fldCharType="separate"/>
      </w:r>
      <w:r>
        <w:t>46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"_Toc92706741" </w:instrText>
      </w:r>
      <w:r>
        <w:fldChar w:fldCharType="separate"/>
      </w:r>
      <w:r>
        <w:rPr>
          <w:rStyle w:val="39"/>
        </w:rPr>
        <w:t>一、本科毕业生</w:t>
      </w:r>
      <w:r>
        <w:tab/>
      </w:r>
      <w:r>
        <w:fldChar w:fldCharType="begin"/>
      </w:r>
      <w:r>
        <w:instrText xml:space="preserve"> PAGEREF _Toc92706741 \h </w:instrText>
      </w:r>
      <w:r>
        <w:fldChar w:fldCharType="separate"/>
      </w:r>
      <w:r>
        <w:t>46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"_Toc92706742" </w:instrText>
      </w:r>
      <w:r>
        <w:fldChar w:fldCharType="separate"/>
      </w:r>
      <w:r>
        <w:rPr>
          <w:rStyle w:val="39"/>
        </w:rPr>
        <w:t>（一）就业机会充分度</w:t>
      </w:r>
      <w:r>
        <w:tab/>
      </w:r>
      <w:r>
        <w:fldChar w:fldCharType="begin"/>
      </w:r>
      <w:r>
        <w:instrText xml:space="preserve"> PAGEREF _Toc92706742 \h </w:instrText>
      </w:r>
      <w:r>
        <w:fldChar w:fldCharType="separate"/>
      </w:r>
      <w:r>
        <w:t>46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"_Toc92706743" </w:instrText>
      </w:r>
      <w:r>
        <w:fldChar w:fldCharType="separate"/>
      </w:r>
      <w:r>
        <w:rPr>
          <w:rStyle w:val="39"/>
        </w:rPr>
        <w:t>（二）专业对口度</w:t>
      </w:r>
      <w:r>
        <w:tab/>
      </w:r>
      <w:r>
        <w:fldChar w:fldCharType="begin"/>
      </w:r>
      <w:r>
        <w:instrText xml:space="preserve"> PAGEREF _Toc92706743 \h </w:instrText>
      </w:r>
      <w:r>
        <w:fldChar w:fldCharType="separate"/>
      </w:r>
      <w:r>
        <w:t>48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"_Toc92706744" </w:instrText>
      </w:r>
      <w:r>
        <w:fldChar w:fldCharType="separate"/>
      </w:r>
      <w:r>
        <w:rPr>
          <w:rStyle w:val="39"/>
        </w:rPr>
        <w:t>（三）工作满意度</w:t>
      </w:r>
      <w:r>
        <w:tab/>
      </w:r>
      <w:r>
        <w:fldChar w:fldCharType="begin"/>
      </w:r>
      <w:r>
        <w:instrText xml:space="preserve"> PAGEREF _Toc92706744 \h </w:instrText>
      </w:r>
      <w:r>
        <w:fldChar w:fldCharType="separate"/>
      </w:r>
      <w:r>
        <w:t>51</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"_Toc92706745" </w:instrText>
      </w:r>
      <w:r>
        <w:fldChar w:fldCharType="separate"/>
      </w:r>
      <w:r>
        <w:rPr>
          <w:rStyle w:val="39"/>
        </w:rPr>
        <w:t>（四）毕业生发展成长度</w:t>
      </w:r>
      <w:r>
        <w:tab/>
      </w:r>
      <w:r>
        <w:fldChar w:fldCharType="begin"/>
      </w:r>
      <w:r>
        <w:instrText xml:space="preserve"> PAGEREF _Toc92706745 \h </w:instrText>
      </w:r>
      <w:r>
        <w:fldChar w:fldCharType="separate"/>
      </w:r>
      <w:r>
        <w:t>53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"_Toc92706746" </w:instrText>
      </w:r>
      <w:r>
        <w:fldChar w:fldCharType="separate"/>
      </w:r>
      <w:r>
        <w:rPr>
          <w:rStyle w:val="39"/>
        </w:rPr>
        <w:t>（五）薪酬水平</w:t>
      </w:r>
      <w:r>
        <w:tab/>
      </w:r>
      <w:r>
        <w:fldChar w:fldCharType="begin"/>
      </w:r>
      <w:r>
        <w:instrText xml:space="preserve"> PAGEREF _Toc92706746 \h </w:instrText>
      </w:r>
      <w:r>
        <w:fldChar w:fldCharType="separate"/>
      </w:r>
      <w:r>
        <w:t>55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"_Toc92706747" </w:instrText>
      </w:r>
      <w:r>
        <w:fldChar w:fldCharType="separate"/>
      </w:r>
      <w:r>
        <w:rPr>
          <w:rStyle w:val="39"/>
        </w:rPr>
        <w:t>二、专科毕业生</w:t>
      </w:r>
      <w:r>
        <w:tab/>
      </w:r>
      <w:r>
        <w:fldChar w:fldCharType="begin"/>
      </w:r>
      <w:r>
        <w:instrText xml:space="preserve"> PAGEREF _Toc92706747 \h </w:instrText>
      </w:r>
      <w:r>
        <w:fldChar w:fldCharType="separate"/>
      </w:r>
      <w:r>
        <w:t>57</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"_Toc92706748" </w:instrText>
      </w:r>
      <w:r>
        <w:fldChar w:fldCharType="separate"/>
      </w:r>
      <w:r>
        <w:rPr>
          <w:rStyle w:val="39"/>
        </w:rPr>
        <w:t>（一）就业机会充分度</w:t>
      </w:r>
      <w:r>
        <w:tab/>
      </w:r>
      <w:r>
        <w:fldChar w:fldCharType="begin"/>
      </w:r>
      <w:r>
        <w:instrText xml:space="preserve"> PAGEREF _Toc92706748 \h </w:instrText>
      </w:r>
      <w:r>
        <w:fldChar w:fldCharType="separate"/>
      </w:r>
      <w:r>
        <w:t>57</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"_Toc92706749" </w:instrText>
      </w:r>
      <w:r>
        <w:fldChar w:fldCharType="separate"/>
      </w:r>
      <w:r>
        <w:rPr>
          <w:rStyle w:val="39"/>
        </w:rPr>
        <w:t>（二）专业对口度</w:t>
      </w:r>
      <w:r>
        <w:tab/>
      </w:r>
      <w:r>
        <w:fldChar w:fldCharType="begin"/>
      </w:r>
      <w:r>
        <w:instrText xml:space="preserve"> PAGEREF _Toc92706749 \h </w:instrText>
      </w:r>
      <w:r>
        <w:fldChar w:fldCharType="separate"/>
      </w:r>
      <w:r>
        <w:t>59</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"_Toc92706750" </w:instrText>
      </w:r>
      <w:r>
        <w:fldChar w:fldCharType="separate"/>
      </w:r>
      <w:r>
        <w:rPr>
          <w:rStyle w:val="39"/>
        </w:rPr>
        <w:t>（三）工作满意度</w:t>
      </w:r>
      <w:r>
        <w:tab/>
      </w:r>
      <w:r>
        <w:fldChar w:fldCharType="begin"/>
      </w:r>
      <w:r>
        <w:instrText xml:space="preserve"> PAGEREF _Toc92706750 \h </w:instrText>
      </w:r>
      <w:r>
        <w:fldChar w:fldCharType="separate"/>
      </w:r>
      <w:r>
        <w:t>60</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"_Toc92706751" </w:instrText>
      </w:r>
      <w:r>
        <w:fldChar w:fldCharType="separate"/>
      </w:r>
      <w:r>
        <w:rPr>
          <w:rStyle w:val="39"/>
        </w:rPr>
        <w:t>（四）毕业生发展成长度</w:t>
      </w:r>
      <w:r>
        <w:tab/>
      </w:r>
      <w:r>
        <w:fldChar w:fldCharType="begin"/>
      </w:r>
      <w:r>
        <w:instrText xml:space="preserve"> PAGEREF _Toc92706751 \h </w:instrText>
      </w:r>
      <w:r>
        <w:fldChar w:fldCharType="separate"/>
      </w:r>
      <w:r>
        <w:t>62</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"_Toc92706752" </w:instrText>
      </w:r>
      <w:r>
        <w:fldChar w:fldCharType="separate"/>
      </w:r>
      <w:r>
        <w:rPr>
          <w:rStyle w:val="39"/>
        </w:rPr>
        <w:t>（五）薪酬水平</w:t>
      </w:r>
      <w:r>
        <w:tab/>
      </w:r>
      <w:r>
        <w:fldChar w:fldCharType="begin"/>
      </w:r>
      <w:r>
        <w:instrText xml:space="preserve"> PAGEREF _Toc92706752 \h </w:instrText>
      </w:r>
      <w:r>
        <w:fldChar w:fldCharType="separate"/>
      </w:r>
      <w:r>
        <w:t>63</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"_Toc92706753" </w:instrText>
      </w:r>
      <w:r>
        <w:fldChar w:fldCharType="separate"/>
      </w:r>
      <w:r>
        <w:rPr>
          <w:rStyle w:val="39"/>
          <w:rFonts w:ascii="Calibri" w:hAnsi="Calibri" w:eastAsia="黑体"/>
        </w:rPr>
        <w:t>第五篇：就业发展趋势分析</w:t>
      </w:r>
      <w:r>
        <w:tab/>
      </w:r>
      <w:r>
        <w:fldChar w:fldCharType="begin"/>
      </w:r>
      <w:r>
        <w:instrText xml:space="preserve"> PAGEREF _Toc92706753 \h </w:instrText>
      </w:r>
      <w:r>
        <w:fldChar w:fldCharType="separate"/>
      </w:r>
      <w:r>
        <w:t>65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"_Toc92706754" </w:instrText>
      </w:r>
      <w:r>
        <w:fldChar w:fldCharType="separate"/>
      </w:r>
      <w:r>
        <w:rPr>
          <w:rStyle w:val="39"/>
        </w:rPr>
        <w:t>一、近三年规模与毕业去向落实率变化趋势</w:t>
      </w:r>
      <w:r>
        <w:tab/>
      </w:r>
      <w:r>
        <w:fldChar w:fldCharType="begin"/>
      </w:r>
      <w:r>
        <w:instrText xml:space="preserve"> PAGEREF _Toc92706754 \h </w:instrText>
      </w:r>
      <w:r>
        <w:fldChar w:fldCharType="separate"/>
      </w:r>
      <w:r>
        <w:t>65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"_Toc92706755" </w:instrText>
      </w:r>
      <w:r>
        <w:fldChar w:fldCharType="separate"/>
      </w:r>
      <w:r>
        <w:rPr>
          <w:rStyle w:val="39"/>
        </w:rPr>
        <w:t>二、近三年就业地区变化趋势</w:t>
      </w:r>
      <w:r>
        <w:tab/>
      </w:r>
      <w:r>
        <w:fldChar w:fldCharType="begin"/>
      </w:r>
      <w:r>
        <w:instrText xml:space="preserve"> PAGEREF _Toc92706755 \h </w:instrText>
      </w:r>
      <w:r>
        <w:fldChar w:fldCharType="separate"/>
      </w:r>
      <w:r>
        <w:t>66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"_Toc92706756" </w:instrText>
      </w:r>
      <w:r>
        <w:fldChar w:fldCharType="separate"/>
      </w:r>
      <w:r>
        <w:rPr>
          <w:rStyle w:val="39"/>
        </w:rPr>
        <w:t>三、近三年就业行业变化趋势</w:t>
      </w:r>
      <w:r>
        <w:tab/>
      </w:r>
      <w:r>
        <w:fldChar w:fldCharType="begin"/>
      </w:r>
      <w:r>
        <w:instrText xml:space="preserve"> PAGEREF _Toc92706756 \h </w:instrText>
      </w:r>
      <w:r>
        <w:fldChar w:fldCharType="separate"/>
      </w:r>
      <w:r>
        <w:t>66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"_Toc92706757" </w:instrText>
      </w:r>
      <w:r>
        <w:fldChar w:fldCharType="separate"/>
      </w:r>
      <w:r>
        <w:rPr>
          <w:rStyle w:val="39"/>
        </w:rPr>
        <w:t>四、近三年就业单位变化趋势</w:t>
      </w:r>
      <w:r>
        <w:tab/>
      </w:r>
      <w:r>
        <w:fldChar w:fldCharType="begin"/>
      </w:r>
      <w:r>
        <w:instrText xml:space="preserve"> PAGEREF _Toc92706757 \h </w:instrText>
      </w:r>
      <w:r>
        <w:fldChar w:fldCharType="separate"/>
      </w:r>
      <w:r>
        <w:t>67</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"_Toc92706758" </w:instrText>
      </w:r>
      <w:r>
        <w:fldChar w:fldCharType="separate"/>
      </w:r>
      <w:r>
        <w:rPr>
          <w:rStyle w:val="39"/>
        </w:rPr>
        <w:t>五、近三年薪酬变化趋势</w:t>
      </w:r>
      <w:r>
        <w:tab/>
      </w:r>
      <w:r>
        <w:fldChar w:fldCharType="begin"/>
      </w:r>
      <w:r>
        <w:instrText xml:space="preserve"> PAGEREF _Toc92706758 \h </w:instrText>
      </w:r>
      <w:r>
        <w:fldChar w:fldCharType="separate"/>
      </w:r>
      <w:r>
        <w:t>67</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"_Toc92706759" </w:instrText>
      </w:r>
      <w:r>
        <w:fldChar w:fldCharType="separate"/>
      </w:r>
      <w:r>
        <w:rPr>
          <w:rStyle w:val="39"/>
        </w:rPr>
        <w:t>六、近三年升学率变化趋势</w:t>
      </w:r>
      <w:r>
        <w:tab/>
      </w:r>
      <w:r>
        <w:fldChar w:fldCharType="begin"/>
      </w:r>
      <w:r>
        <w:instrText xml:space="preserve"> PAGEREF _Toc92706759 \h </w:instrText>
      </w:r>
      <w:r>
        <w:fldChar w:fldCharType="separate"/>
      </w:r>
      <w:r>
        <w:t>68</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"_Toc92706760" </w:instrText>
      </w:r>
      <w:r>
        <w:fldChar w:fldCharType="separate"/>
      </w:r>
      <w:r>
        <w:rPr>
          <w:rStyle w:val="39"/>
        </w:rPr>
        <w:t>七、近三年专业对口度变化趋势</w:t>
      </w:r>
      <w:r>
        <w:tab/>
      </w:r>
      <w:r>
        <w:fldChar w:fldCharType="begin"/>
      </w:r>
      <w:r>
        <w:instrText xml:space="preserve"> PAGEREF _Toc92706760 \h </w:instrText>
      </w:r>
      <w:r>
        <w:fldChar w:fldCharType="separate"/>
      </w:r>
      <w:r>
        <w:t>69</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"_Toc92706761" </w:instrText>
      </w:r>
      <w:r>
        <w:fldChar w:fldCharType="separate"/>
      </w:r>
      <w:r>
        <w:rPr>
          <w:rStyle w:val="39"/>
        </w:rPr>
        <w:t>八、近三年工作满意度变化趋势</w:t>
      </w:r>
      <w:r>
        <w:tab/>
      </w:r>
      <w:r>
        <w:fldChar w:fldCharType="begin"/>
      </w:r>
      <w:r>
        <w:instrText xml:space="preserve"> PAGEREF _Toc92706761 \h </w:instrText>
      </w:r>
      <w:r>
        <w:fldChar w:fldCharType="separate"/>
      </w:r>
      <w:r>
        <w:t>69</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"_Toc92706762" </w:instrText>
      </w:r>
      <w:r>
        <w:fldChar w:fldCharType="separate"/>
      </w:r>
      <w:r>
        <w:rPr>
          <w:rStyle w:val="39"/>
          <w:rFonts w:ascii="Calibri" w:hAnsi="Calibri" w:eastAsia="黑体"/>
        </w:rPr>
        <w:t>第六篇：毕业生对学校的评价</w:t>
      </w:r>
      <w:r>
        <w:tab/>
      </w:r>
      <w:r>
        <w:fldChar w:fldCharType="begin"/>
      </w:r>
      <w:r>
        <w:instrText xml:space="preserve"> PAGEREF _Toc92706762 \h </w:instrText>
      </w:r>
      <w:r>
        <w:fldChar w:fldCharType="separate"/>
      </w:r>
      <w:r>
        <w:t>71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"_Toc92706763" </w:instrText>
      </w:r>
      <w:r>
        <w:fldChar w:fldCharType="separate"/>
      </w:r>
      <w:r>
        <w:rPr>
          <w:rStyle w:val="39"/>
        </w:rPr>
        <w:t>一、毕业生对人才培养的评价</w:t>
      </w:r>
      <w:r>
        <w:tab/>
      </w:r>
      <w:r>
        <w:fldChar w:fldCharType="begin"/>
      </w:r>
      <w:r>
        <w:instrText xml:space="preserve"> PAGEREF _Toc92706763 \h </w:instrText>
      </w:r>
      <w:r>
        <w:fldChar w:fldCharType="separate"/>
      </w:r>
      <w:r>
        <w:t>71</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"_Toc92706764" </w:instrText>
      </w:r>
      <w:r>
        <w:fldChar w:fldCharType="separate"/>
      </w:r>
      <w:r>
        <w:rPr>
          <w:rStyle w:val="39"/>
        </w:rPr>
        <w:t>（一）母校满意度</w:t>
      </w:r>
      <w:r>
        <w:tab/>
      </w:r>
      <w:r>
        <w:fldChar w:fldCharType="begin"/>
      </w:r>
      <w:r>
        <w:instrText xml:space="preserve"> PAGEREF _Toc92706764 \h </w:instrText>
      </w:r>
      <w:r>
        <w:fldChar w:fldCharType="separate"/>
      </w:r>
      <w:r>
        <w:t>71</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"_Toc92706765" </w:instrText>
      </w:r>
      <w:r>
        <w:fldChar w:fldCharType="separate"/>
      </w:r>
      <w:r>
        <w:rPr>
          <w:rStyle w:val="39"/>
        </w:rPr>
        <w:t>（二）教育教学评价</w:t>
      </w:r>
      <w:r>
        <w:tab/>
      </w:r>
      <w:r>
        <w:fldChar w:fldCharType="begin"/>
      </w:r>
      <w:r>
        <w:instrText xml:space="preserve"> PAGEREF _Toc92706765 \h </w:instrText>
      </w:r>
      <w:r>
        <w:fldChar w:fldCharType="separate"/>
      </w:r>
      <w:r>
        <w:t>72</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rPr>
      </w:pPr>
      <w:r>
        <w:fldChar w:fldCharType="begin"/>
      </w:r>
      <w:r>
        <w:instrText xml:space="preserve"> HYPERLINK \l "_Toc92706766" </w:instrText>
      </w:r>
      <w:r>
        <w:fldChar w:fldCharType="separate"/>
      </w:r>
      <w:r>
        <w:rPr>
          <w:rStyle w:val="39"/>
        </w:rPr>
        <w:t>（三）基础能力素质</w:t>
      </w:r>
      <w:r>
        <w:tab/>
      </w:r>
      <w:r>
        <w:fldChar w:fldCharType="begin"/>
      </w:r>
      <w:r>
        <w:instrText xml:space="preserve"> PAGEREF _Toc92706766 \h </w:instrText>
      </w:r>
      <w:r>
        <w:fldChar w:fldCharType="separate"/>
      </w:r>
      <w:r>
        <w:t>75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"_Toc92706767" </w:instrText>
      </w:r>
      <w:r>
        <w:fldChar w:fldCharType="separate"/>
      </w:r>
      <w:r>
        <w:rPr>
          <w:rStyle w:val="39"/>
        </w:rPr>
        <w:t>二、毕业生对就业教育/服务的评价</w:t>
      </w:r>
      <w:r>
        <w:tab/>
      </w:r>
      <w:r>
        <w:fldChar w:fldCharType="begin"/>
      </w:r>
      <w:r>
        <w:instrText xml:space="preserve"> PAGEREF _Toc92706767 \h </w:instrText>
      </w:r>
      <w:r>
        <w:fldChar w:fldCharType="separate"/>
      </w:r>
      <w:r>
        <w:t>77</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"_Toc92706768" </w:instrText>
      </w:r>
      <w:r>
        <w:fldChar w:fldCharType="separate"/>
      </w:r>
      <w:r>
        <w:rPr>
          <w:rStyle w:val="39"/>
        </w:rPr>
        <w:t>第七篇：用人单位对毕业生及学校的评价</w:t>
      </w:r>
      <w:r>
        <w:tab/>
      </w:r>
      <w:r>
        <w:fldChar w:fldCharType="begin"/>
      </w:r>
      <w:r>
        <w:instrText xml:space="preserve"> PAGEREF _Toc92706768 \h </w:instrText>
      </w:r>
      <w:r>
        <w:fldChar w:fldCharType="separate"/>
      </w:r>
      <w:r>
        <w:t>80</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"_Toc92706769" </w:instrText>
      </w:r>
      <w:r>
        <w:fldChar w:fldCharType="separate"/>
      </w:r>
      <w:r>
        <w:rPr>
          <w:rStyle w:val="39"/>
        </w:rPr>
        <w:t>一、对毕业生的评价</w:t>
      </w:r>
      <w:r>
        <w:tab/>
      </w:r>
      <w:r>
        <w:fldChar w:fldCharType="begin"/>
      </w:r>
      <w:r>
        <w:instrText xml:space="preserve"> PAGEREF _Toc92706769 \h </w:instrText>
      </w:r>
      <w:r>
        <w:fldChar w:fldCharType="separate"/>
      </w:r>
      <w:r>
        <w:t>80</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rPr>
      </w:pPr>
      <w:r>
        <w:fldChar w:fldCharType="begin"/>
      </w:r>
      <w:r>
        <w:instrText xml:space="preserve"> HYPERLINK \l "_Toc92706770" </w:instrText>
      </w:r>
      <w:r>
        <w:fldChar w:fldCharType="separate"/>
      </w:r>
      <w:r>
        <w:rPr>
          <w:rStyle w:val="39"/>
        </w:rPr>
        <w:t>二、对学校招聘服务的评价</w:t>
      </w:r>
      <w:r>
        <w:tab/>
      </w:r>
      <w:r>
        <w:fldChar w:fldCharType="begin"/>
      </w:r>
      <w:r>
        <w:instrText xml:space="preserve"> PAGEREF _Toc92706770 \h </w:instrText>
      </w:r>
      <w:r>
        <w:fldChar w:fldCharType="separate"/>
      </w:r>
      <w:r>
        <w:t>82</w:t>
      </w:r>
      <w:r>
        <w:fldChar w:fldCharType="end"/>
      </w:r>
      <w:r>
        <w:fldChar w:fldCharType="end"/>
      </w:r>
    </w:p>
    <w:p>
      <w:pPr>
        <w:pStyle w:val="21"/>
        <w:tabs>
          <w:tab w:val="right" w:leader="dot" w:pos="8778"/>
        </w:tabs>
        <w:rPr>
          <w:rFonts w:asciiTheme="minorHAnsi" w:hAnsiTheme="minorHAnsi" w:eastAsiaTheme="minorEastAsia" w:cstheme="minorBidi"/>
          <w:b w:val="0"/>
          <w:bCs w:val="0"/>
          <w:caps w:val="0"/>
          <w:color w:val="auto"/>
          <w:kern w:val="2"/>
          <w:sz w:val="21"/>
        </w:rPr>
      </w:pPr>
      <w:r>
        <w:fldChar w:fldCharType="begin"/>
      </w:r>
      <w:r>
        <w:instrText xml:space="preserve"> HYPERLINK \l "_Toc92706771" </w:instrText>
      </w:r>
      <w:r>
        <w:fldChar w:fldCharType="separate"/>
      </w:r>
      <w:r>
        <w:rPr>
          <w:rStyle w:val="39"/>
          <w:rFonts w:ascii="Calibri" w:hAnsi="Calibri" w:eastAsia="黑体"/>
        </w:rPr>
        <w:t>结 语</w:t>
      </w:r>
      <w:r>
        <w:tab/>
      </w:r>
      <w:r>
        <w:fldChar w:fldCharType="begin"/>
      </w:r>
      <w:r>
        <w:instrText xml:space="preserve"> PAGEREF _Toc92706771 \h </w:instrText>
      </w:r>
      <w:r>
        <w:fldChar w:fldCharType="separate"/>
      </w:r>
      <w:r>
        <w:t>84</w:t>
      </w:r>
      <w:r>
        <w:fldChar w:fldCharType="end"/>
      </w:r>
      <w:r>
        <w:fldChar w:fldCharType="end"/>
      </w:r>
    </w:p>
    <w:p>
      <w:pPr>
        <w:pStyle w:val="173"/>
        <w:tabs>
          <w:tab w:val="right" w:leader="dot" w:pos="7900"/>
        </w:tabs>
        <w:spacing w:before="0" w:line="360" w:lineRule="auto"/>
        <w:rPr>
          <w:rFonts w:ascii="Times New Roman" w:hAnsi="Times New Roman" w:cs="Times New Roman" w:eastAsiaTheme="minorEastAsia"/>
          <w:color w:val="0F6FC6" w:themeColor="accent5"/>
          <w:sz w:val="20"/>
          <w:szCs w:val="22"/>
          <w14:textFill>
            <w14:solidFill>
              <w14:schemeClr w14:val="accent5"/>
            </w14:solidFill>
          </w14:textFill>
        </w:rPr>
        <w:sectPr>
          <w:pgSz w:w="11907" w:h="16160"/>
          <w:pgMar w:top="1418" w:right="1418" w:bottom="1418" w:left="1701" w:header="850" w:footer="397" w:gutter="0"/>
          <w:pgNumType w:fmt="upperRoman" w:start="1"/>
          <w:cols w:space="720" w:num="1"/>
          <w:docGrid w:type="linesAndChars" w:linePitch="312" w:charSpace="0"/>
        </w:sectPr>
      </w:pPr>
      <w:r>
        <w:rPr>
          <w:rFonts w:ascii="Times New Roman" w:hAnsi="Times New Roman" w:cs="Times New Roman" w:eastAsiaTheme="minorEastAsia"/>
          <w:b/>
          <w:bCs/>
          <w:caps/>
          <w:color w:val="0F6FC6" w:themeColor="accent5"/>
          <w:sz w:val="20"/>
          <w:szCs w:val="22"/>
          <w14:textFill>
            <w14:solidFill>
              <w14:schemeClr w14:val="accent5"/>
            </w14:solidFill>
          </w14:textFill>
        </w:rPr>
        <w:fldChar w:fldCharType="end"/>
      </w:r>
    </w:p>
    <w:p>
      <w:pPr>
        <w:pageBreakBefore/>
        <w:shd w:val="clear" w:color="auto" w:fill="0F6FC6"/>
        <w:spacing w:after="312" w:afterLines="100" w:line="400" w:lineRule="atLeast"/>
        <w:jc w:val="center"/>
        <w:outlineLvl w:val="0"/>
        <w:rPr>
          <w:rFonts w:ascii="Calibri" w:hAnsi="Calibri" w:eastAsia="黑体"/>
          <w:b/>
          <w:caps/>
          <w:color w:val="FFFFFF"/>
          <w:sz w:val="32"/>
          <w:szCs w:val="32"/>
        </w:rPr>
      </w:pPr>
      <w:bookmarkStart w:id="1" w:name="_Toc487789863"/>
      <w:bookmarkStart w:id="2" w:name="_Toc80114276"/>
      <w:bookmarkStart w:id="3" w:name="_Toc92706696"/>
      <w:bookmarkStart w:id="4" w:name="_Toc487790044"/>
      <w:r>
        <w:rPr>
          <w:rFonts w:hint="eastAsia" w:ascii="Calibri" w:hAnsi="Calibri" w:eastAsia="黑体"/>
          <w:b/>
          <w:caps/>
          <w:color w:val="FFFFFF"/>
          <w:sz w:val="32"/>
          <w:szCs w:val="32"/>
        </w:rPr>
        <w:t>学校概况</w:t>
      </w:r>
      <w:bookmarkEnd w:id="1"/>
      <w:bookmarkEnd w:id="2"/>
      <w:bookmarkEnd w:id="3"/>
      <w:bookmarkEnd w:id="4"/>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荆楚理工学院是2007年3月经教育部批准成立的一所省属全日制普通高等学校，有30余年举办高等教育的历史。</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位于湖北省荆门市中心城区白龙山下，依山傍水，风景秀美，文化历史底蕴深厚，是一座山水园林式大学。学校一校区办学，校园占地面积2400余亩，校舍建筑面积35.87万余平方米。教学科研仪器设备总值1.49亿元，图书馆馆藏纸质图书131万册，采用了成蹊智能图书管理系统，拥有各类电子资源数据库21个。学校教学科研设施齐备，宿舍区运动场集中连片，校园无线网络覆盖全校，生活便利，条件优良，是读书求学理想之处。</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设有16个教学学院（部），开设本科专业43个，专科专业15个，涵盖理、工、农、医、文、教、管、艺等8大学科门类。有全日制普通在校生19615人，其中本科生13998人。学校建有校外实习实训基地124个，有附属医院1家，教学医院1家。</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学校现有在编教职工1134人，有教授、副教授等高级职称人员342人，博士、硕士678人。享受国务院及湖北省政府特殊津贴的专家4人。</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现有现有湖北省“十四五”优势特色学科群2个（“绿色化工与制药工程”、“智慧农业与优势农产品加工”）、湖北省“十三五”优势（特色）学科群1个（绿色化工与制药工程）、湖北省“十二五”重点（特色）学科1个（化学工程与技术）、湖北省“十二五”重点（培育）学科1个（食品科学与工程）、省级试点学院1个、省一流专业建设点11个。机械设计制造及其自动化、化学工程与工艺、印刷工程、食品科学与工程、计算机科学与技术等5项为湖北省本科高校“专业综合改革试点”项目。化学工程与工艺、食品科学与工程、计算机科学与技术、电气工程及其自动化、植物科学与技术等5项为湖北省高等学校战略性新兴（支柱）产业人才培养计划本科项目。物联网工程、小学教育、学前教育、广播电视编导等4项为湖北省普通本科高校“荆楚卓越人才”协同育人计划项目。有教育部产学合作协同育人项目37项，“荆楚理工学院-中兴通讯信息学院”为湖北省高校试点学院改革项目。有国家级校外实训基地1个（荆楚理工学院-中印南方印刷有限公司工程实践教育中心），湖北高校省级示范实习实训基地1个（湖北三宁化工股份有限公司），湖北高校省级大学生校外实习实训基地4个（中印南方印刷实习实训基地、湖北省金龙泉集团有限公司食品科学与工程实习实训基地、湖北省服务外包人才培养（训）基地、荆门市东宝区教育局教师教育实践基地）。学校是湖北省服务外包人才培养（训）基地。有省级优秀基层教学组织10个、省级教学团队8个、省级一流本科课程19门、省级课程思政示范项课程1门、省级精品视频公开课1门、省级精品在线课程1门。大学生创新训练项目国家级118项、省级328项。省级优秀学位论文141篇。承担国家级“新农科”研究与改革实践项目（地方涉农高校服务乡村振兴战略模式研究与实践）1项，承担省级以上教育教学研究课题46项，获省级教学成果奖二等奖2项、三等奖6项。</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建有一批省市科研平台。其中，湖北省协同创新中心1个，湖北省重点实验室1个，湖北省产业技术研究院3个、湖北省企校共建技术研发中心9个、湖北省新农村发展研究院1个，湖北省人文社科重点研究基地1个，湖北省知识产权培训中心1个，荆门市产业技术研发和高新技术企业孵化基地4个。十三五以来，学校获批省级科技创新团队5个，先后承担国家、省市科研项目482项，其中，国家自然科学基金和国家社会科学基金项目4项。获省市科技、社科成果奖26项；拥有各类专利651件（该数据为近5年数据）。学校教师在核心期刊发表论文444篇，被SCI等权威检索性期刊收录317篇。《荆楚理工学院学报》先后被评为全国优秀社科学报、全国地方高校优秀学报、全国质量进步社科学报，其“传记文学研究”栏目先后被湖北省高等学校学报研究会和湖北省新闻出版广电局评为“特色栏目”；《荆楚学刊》先后被评为全国优秀社科学报、湖北省优秀期刊，其“荆楚文化研究”栏目荣获湖北期刊“特色栏目奖”。</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先后与武汉工程大学、湖北工业大学等高校开展联合培养硕士研究生，与爱尔兰高威梅奥理工学院、泰国乌汶大学、菲律宾德拉萨大学、马来西亚城市大学、西班牙巴塞罗那大学、澳大利亚西澳理工学院、美国长岛大学、芬兰瓦萨应用科技大学、法国卡昂大学等20余所国外高校建立了校际交流合作关系，在校留学生达到157人。开设有口腔医学、市场营销、计算机科学与技术、制药工程四全英文授课本科专业，并针对留学生汉语言水平，开设有国际汉语初级班、中级班和高级班。</w:t>
      </w:r>
    </w:p>
    <w:p>
      <w:pPr>
        <w:snapToGrid w:val="0"/>
        <w:spacing w:line="360" w:lineRule="auto"/>
        <w:ind w:firstLine="480" w:firstLineChars="200"/>
        <w:jc w:val="both"/>
        <w:rPr>
          <w:rFonts w:ascii="Times New Roman" w:hAnsi="Times New Roman"/>
          <w:lang w:val="zh-CN"/>
        </w:rPr>
      </w:pPr>
      <w:r>
        <w:rPr>
          <w:rFonts w:hint="eastAsia" w:ascii="Times New Roman" w:hAnsi="Times New Roman"/>
          <w:lang w:val="zh-CN"/>
        </w:rPr>
        <w:t>学校坚持地方性、应用型办学定位，坚持人才培养中心地位，立足荆门，面向湖北，辐射全国，服务地方经济社会发展，围绕培养具有良好的思想政治素质和人文素养、扎实的学科专业基础、较强的创新创业精神和实践能力的应用型高级专门人才这一目标，探索构建学校教育和社会教育二大协同育人体系，打造通识教育课程、专业主干课程、个性发展课程三大课程平台，实现人才培养过程中通识教育与专业教育的融合、全面发展与个性发展的结合、应用性与学术性的结合、信息技术与教育教学融合的四个融合，形成了“1234”的应用型人才培养模式。学校先后被授予国家节约型公共机构示范单位、湖北省高校毕业生就业统计规范管理先进单位、湖北省平安校园、湖北省文明单位（校园），校团委被授予全国五四红旗团委等荣誉称号。2014年，学校成为湖北省首批地方本科院校转型发展试点学校；2015年，学校成为首批“教育部-中兴通讯ICT产教融合创新基地”。2016年，学校顺利通过教育部本科教学工作合格评估。2020年，学校入选“国家教育现代化推进工程中西部高校基础能力建设工程”。</w:t>
      </w:r>
    </w:p>
    <w:p>
      <w:pPr>
        <w:rPr>
          <w:rFonts w:ascii="Times New Roman" w:hAnsi="Times New Roman"/>
          <w:color w:val="000000"/>
        </w:rPr>
      </w:pPr>
      <w:r>
        <w:rPr>
          <w:rFonts w:ascii="Times New Roman" w:hAnsi="Times New Roman"/>
          <w:color w:val="000000"/>
        </w:rPr>
        <w:br w:type="page"/>
      </w:r>
    </w:p>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5" w:name="_Toc487790045"/>
      <w:bookmarkStart w:id="6" w:name="_Toc487789864"/>
      <w:bookmarkStart w:id="7" w:name="_Toc80114277"/>
      <w:bookmarkStart w:id="8" w:name="_Toc92706697"/>
      <w:r>
        <w:rPr>
          <w:rFonts w:hint="eastAsia" w:ascii="Calibri" w:hAnsi="Calibri" w:eastAsia="黑体"/>
          <w:b/>
          <w:caps/>
          <w:color w:val="FFFFFF"/>
          <w:sz w:val="32"/>
          <w:szCs w:val="32"/>
        </w:rPr>
        <w:t>报告说明</w:t>
      </w:r>
      <w:bookmarkEnd w:id="5"/>
      <w:bookmarkEnd w:id="6"/>
      <w:bookmarkEnd w:id="7"/>
      <w:bookmarkEnd w:id="8"/>
    </w:p>
    <w:p>
      <w:pPr>
        <w:snapToGrid w:val="0"/>
        <w:spacing w:before="156" w:beforeLines="50" w:after="156" w:afterLines="50" w:line="360" w:lineRule="auto"/>
        <w:ind w:firstLine="480" w:firstLineChars="200"/>
        <w:jc w:val="both"/>
        <w:rPr>
          <w:rFonts w:ascii="Times New Roman" w:hAnsi="Times New Roman"/>
          <w:lang w:val="zh-CN"/>
        </w:rPr>
      </w:pPr>
      <w:r>
        <w:rPr>
          <w:rFonts w:hint="eastAsia" w:ascii="Times New Roman" w:hAnsi="Times New Roman"/>
          <w:lang w:val="zh-CN"/>
        </w:rPr>
        <w:t>为全面总结和分析毕业生就业状况，完善毕业生就业状况反馈机制，进一步深化高校教育教学改革，优化学科专业结构，改进人才培养模式，提高人才培养质量，建立健全高校人才培养、社会需求和就业创业良性互动的长效机制。根据《教育部办公厅关于编制发布高校毕业生就业质量年度报告的通知》（教学厅函〔2013〕25号）、《教育部关于做好2021届全国普通高校毕业生就业创业工作的通知》（教学〔2020〕5号）和《教育部办公厅关于进一步做好普通高校毕业生就业统计与核查工作的通知》（教学厅函〔2021〕19号）相关文件要求，学校遵循全面、准确、科学、严谨的原则，统筹分析毕业生就业状况，编制并正式发布《荆楚理工学院2021届毕业生就业质量年度报告》。本报告数据来源于两个方面：</w:t>
      </w:r>
    </w:p>
    <w:p>
      <w:pPr>
        <w:snapToGrid w:val="0"/>
        <w:spacing w:before="78" w:beforeLines="25" w:after="156" w:afterLines="50" w:line="360" w:lineRule="auto"/>
        <w:ind w:firstLine="480" w:firstLineChars="200"/>
        <w:jc w:val="both"/>
        <w:rPr>
          <w:rFonts w:ascii="Times New Roman" w:hAnsi="Times New Roman"/>
          <w:color w:val="000000"/>
        </w:rPr>
      </w:pPr>
      <w:r>
        <w:rPr>
          <w:rFonts w:hint="eastAsia" w:ascii="Times New Roman" w:hAnsi="Times New Roman"/>
          <w:color w:val="000000"/>
        </w:rPr>
        <w:t>1.湖北省高校毕业生就业办公系统。数据统计截止日期为</w:t>
      </w:r>
      <w:r>
        <w:rPr>
          <w:rFonts w:ascii="Times New Roman" w:hAnsi="Times New Roman"/>
          <w:color w:val="000000"/>
        </w:rPr>
        <w:t>2021年12月31日</w:t>
      </w:r>
      <w:r>
        <w:rPr>
          <w:rFonts w:hint="eastAsia" w:ascii="Times New Roman" w:hAnsi="Times New Roman"/>
          <w:color w:val="000000"/>
        </w:rPr>
        <w:t>。使用数据主要涉及毕业生的规模和结构、毕业去向落实率、毕业去向、就业流向等。</w:t>
      </w:r>
    </w:p>
    <w:p>
      <w:pPr>
        <w:snapToGrid w:val="0"/>
        <w:spacing w:before="78" w:beforeLines="25" w:after="156" w:afterLines="50" w:line="360" w:lineRule="auto"/>
        <w:ind w:firstLine="480" w:firstLineChars="200"/>
        <w:jc w:val="both"/>
        <w:rPr>
          <w:rFonts w:ascii="Times New Roman" w:hAnsi="Times New Roman"/>
          <w:color w:val="000000"/>
        </w:rPr>
      </w:pPr>
      <w:r>
        <w:rPr>
          <w:rFonts w:hint="eastAsia" w:ascii="Times New Roman" w:hAnsi="Times New Roman"/>
          <w:color w:val="000000"/>
        </w:rPr>
        <w:t>2.第三方数据调查公司（新锦成）调研数据。调研</w:t>
      </w:r>
      <w:r>
        <w:rPr>
          <w:rFonts w:hint="eastAsia" w:ascii="Times New Roman" w:hAnsi="Times New Roman"/>
          <w:color w:val="000000" w:themeColor="text1"/>
          <w14:textFill>
            <w14:solidFill>
              <w14:schemeClr w14:val="tx1"/>
            </w14:solidFill>
          </w14:textFill>
        </w:rPr>
        <w:t>数据</w:t>
      </w:r>
      <w:r>
        <w:rPr>
          <w:rFonts w:hint="eastAsia" w:ascii="Times New Roman" w:hAnsi="Times New Roman"/>
          <w:color w:val="000000"/>
        </w:rPr>
        <w:t>面向全校2021届毕业生，有效问卷回收率为</w:t>
      </w:r>
      <w:r>
        <w:rPr>
          <w:rFonts w:ascii="Times New Roman" w:hAnsi="Times New Roman"/>
          <w:color w:val="000000"/>
        </w:rPr>
        <w:t>42.46%</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rPr>
        <w:t>使用数据涉及就业相关分析及对教育教学的反馈部分。用人单位调研数据，面向本校毕业生所在用人单位</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rPr>
        <w:t>使用数据涉及用人单位对毕业生满意度及能力评价、用人单位对学校就业创业服务工作评价等部分。</w:t>
      </w:r>
      <w:r>
        <w:rPr>
          <w:rFonts w:ascii="Times New Roman" w:hAnsi="Times New Roman"/>
          <w:color w:val="000000"/>
        </w:rPr>
        <w:br w:type="page"/>
      </w:r>
    </w:p>
    <w:p>
      <w:pPr>
        <w:snapToGrid w:val="0"/>
        <w:spacing w:before="78" w:beforeLines="25" w:after="156" w:afterLines="50" w:line="360" w:lineRule="auto"/>
        <w:ind w:firstLine="720" w:firstLineChars="200"/>
        <w:jc w:val="both"/>
        <w:rPr>
          <w:rFonts w:asciiTheme="minorEastAsia" w:hAnsiTheme="minorEastAsia" w:eastAsiaTheme="minorEastAsia"/>
        </w:rPr>
      </w:pPr>
      <w:r>
        <w:rPr>
          <w:rFonts w:eastAsia="黑体"/>
          <w:b/>
          <w:sz w:val="36"/>
          <w:szCs w:val="36"/>
        </w:rPr>
        <w:drawing>
          <wp:anchor distT="0" distB="0" distL="114300" distR="114300" simplePos="0" relativeHeight="251669504" behindDoc="1" locked="0" layoutInCell="1" allowOverlap="1">
            <wp:simplePos x="0" y="0"/>
            <wp:positionH relativeFrom="column">
              <wp:posOffset>-1061085</wp:posOffset>
            </wp:positionH>
            <wp:positionV relativeFrom="paragraph">
              <wp:posOffset>-918845</wp:posOffset>
            </wp:positionV>
            <wp:extent cx="7533640" cy="10266045"/>
            <wp:effectExtent l="0" t="0" r="0" b="1905"/>
            <wp:wrapNone/>
            <wp:docPr id="1388"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4354" cy="10267129"/>
                    </a:xfrm>
                    <a:prstGeom prst="rect">
                      <a:avLst/>
                    </a:prstGeom>
                  </pic:spPr>
                </pic:pic>
              </a:graphicData>
            </a:graphic>
          </wp:anchor>
        </w:drawing>
      </w: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00" w:firstLineChars="200"/>
        <w:jc w:val="both"/>
        <w:rPr>
          <w:rFonts w:asciiTheme="minorEastAsia" w:hAnsiTheme="minorEastAsia" w:eastAsiaTheme="minorEastAsia"/>
        </w:rPr>
      </w:pPr>
      <w:r>
        <w:rPr>
          <w:rFonts w:ascii="Calibri Light" w:hAnsi="Calibri Light"/>
          <w:sz w:val="20"/>
          <w:szCs w:val="20"/>
        </w:rPr>
        <w:pict>
          <v:shape id="文本框 1397" o:spid="_x0000_s1029" o:spt="202" type="#_x0000_t202" style="position:absolute;left:0pt;margin-left:1.6pt;margin-top:20.65pt;height:184.5pt;width:595.25pt;mso-position-horizontal-relative:page;z-index:251664384;mso-width-relative:page;mso-height-relative:page;" filled="f" stroked="f" coordsize="21600,21600">
            <v:path/>
            <v:fill on="f" focussize="0,0"/>
            <v:stroke on="f" joinstyle="miter"/>
            <v:imagedata o:title=""/>
            <o:lock v:ext="edit"/>
            <v:textbox>
              <w:txbxContent>
                <w:p>
                  <w:pPr>
                    <w:jc w:val="center"/>
                    <w:rPr>
                      <w:rFonts w:ascii="微软雅黑" w:hAnsi="微软雅黑" w:eastAsia="微软雅黑"/>
                      <w:b/>
                      <w:color w:val="0F6FC6"/>
                      <w:sz w:val="52"/>
                      <w:szCs w:val="52"/>
                    </w:rPr>
                  </w:pPr>
                  <w:r>
                    <w:rPr>
                      <w:rFonts w:hint="eastAsia" w:ascii="微软雅黑" w:hAnsi="微软雅黑" w:eastAsia="微软雅黑"/>
                      <w:b/>
                      <w:color w:val="0F6FC6"/>
                      <w:sz w:val="72"/>
                      <w:szCs w:val="72"/>
                    </w:rPr>
                    <w:t>总体结论</w:t>
                  </w:r>
                </w:p>
                <w:p>
                  <w:pPr>
                    <w:jc w:val="center"/>
                    <w:rPr>
                      <w:rFonts w:ascii="微软雅黑" w:hAnsi="微软雅黑" w:eastAsia="微软雅黑"/>
                      <w:b/>
                      <w:color w:val="4C659B"/>
                      <w:sz w:val="44"/>
                      <w:szCs w:val="36"/>
                    </w:rPr>
                  </w:pPr>
                </w:p>
              </w:txbxContent>
            </v:textbox>
          </v:shape>
        </w:pict>
      </w: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p>
    <w:p>
      <w:pPr>
        <w:snapToGrid w:val="0"/>
        <w:spacing w:before="78" w:beforeLines="25" w:after="156" w:afterLines="50" w:line="360" w:lineRule="auto"/>
        <w:ind w:firstLine="480" w:firstLineChars="200"/>
        <w:jc w:val="both"/>
        <w:rPr>
          <w:rFonts w:asciiTheme="minorEastAsia" w:hAnsiTheme="minorEastAsia" w:eastAsiaTheme="minorEastAsia"/>
        </w:rPr>
      </w:pPr>
      <w:r>
        <w:rPr>
          <w:rFonts w:asciiTheme="minorEastAsia" w:hAnsiTheme="minorEastAsia" w:eastAsiaTheme="minorEastAsia"/>
        </w:rPr>
        <w:br w:type="page"/>
      </w:r>
    </w:p>
    <w:p>
      <w:pPr>
        <w:snapToGrid w:val="0"/>
        <w:spacing w:before="78" w:beforeLines="25" w:after="156" w:afterLines="50" w:line="360" w:lineRule="auto"/>
        <w:ind w:firstLine="480" w:firstLineChars="200"/>
        <w:jc w:val="both"/>
        <w:rPr>
          <w:rFonts w:asciiTheme="minorEastAsia" w:hAnsiTheme="minorEastAsia" w:eastAsiaTheme="minorEastAsia"/>
        </w:rPr>
        <w:sectPr>
          <w:pgSz w:w="11907" w:h="16160"/>
          <w:pgMar w:top="1418" w:right="1418" w:bottom="1418" w:left="1701" w:header="850" w:footer="397" w:gutter="0"/>
          <w:pgNumType w:fmt="upperRoman" w:start="1"/>
          <w:cols w:space="720" w:num="1"/>
          <w:docGrid w:type="linesAndChars" w:linePitch="312" w:charSpace="0"/>
        </w:sectPr>
      </w:pPr>
    </w:p>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9" w:name="_Toc92706698"/>
      <w:bookmarkStart w:id="10" w:name="_Toc80114278"/>
      <w:r>
        <w:rPr>
          <w:rFonts w:hint="eastAsia" w:ascii="Calibri" w:hAnsi="Calibri" w:eastAsia="黑体"/>
          <w:b/>
          <w:caps/>
          <w:color w:val="FFFFFF"/>
          <w:sz w:val="32"/>
          <w:szCs w:val="32"/>
        </w:rPr>
        <w:t>总体结论</w:t>
      </w:r>
      <w:bookmarkEnd w:id="9"/>
      <w:bookmarkEnd w:id="10"/>
    </w:p>
    <w:p>
      <w:pPr>
        <w:pStyle w:val="141"/>
        <w:rPr>
          <w:color w:val="0F6FC6" w:themeColor="accent5"/>
          <w14:textFill>
            <w14:solidFill>
              <w14:schemeClr w14:val="accent5"/>
            </w14:solidFill>
          </w14:textFill>
        </w:rPr>
      </w:pPr>
      <w:bookmarkStart w:id="11" w:name="_Toc520328882"/>
      <w:bookmarkStart w:id="12" w:name="_Toc80114279"/>
      <w:bookmarkStart w:id="13" w:name="_Toc82010476"/>
      <w:bookmarkStart w:id="14" w:name="_Toc92706699"/>
      <w:bookmarkStart w:id="15" w:name="_Toc80114281"/>
      <w:r>
        <w:rPr>
          <w:rFonts w:hint="eastAsia"/>
          <w:color w:val="0F6FC6" w:themeColor="accent5"/>
          <w14:textFill>
            <w14:solidFill>
              <w14:schemeClr w14:val="accent5"/>
            </w14:solidFill>
          </w14:textFill>
        </w:rPr>
        <w:t>一、</w:t>
      </w:r>
      <w:bookmarkEnd w:id="11"/>
      <w:r>
        <w:rPr>
          <w:rFonts w:hint="eastAsia"/>
          <w:color w:val="0F6FC6" w:themeColor="accent5"/>
          <w14:textFill>
            <w14:solidFill>
              <w14:schemeClr w14:val="accent5"/>
            </w14:solidFill>
          </w14:textFill>
        </w:rPr>
        <w:t>毕业去向及落实率</w:t>
      </w:r>
      <w:bookmarkEnd w:id="12"/>
      <w:bookmarkEnd w:id="13"/>
      <w:bookmarkEnd w:id="14"/>
    </w:p>
    <w:p>
      <w:pPr>
        <w:pStyle w:val="178"/>
        <w:spacing w:before="156"/>
        <w:ind w:firstLine="480"/>
      </w:pPr>
      <w:r>
        <w:rPr>
          <w:rFonts w:hint="eastAsia"/>
        </w:rPr>
        <w:t>学校</w:t>
      </w:r>
      <w:r>
        <w:t>2021届毕业生</w:t>
      </w:r>
      <w:r>
        <w:rPr>
          <w:rFonts w:hint="eastAsia"/>
        </w:rPr>
        <w:t>毕业去向落实率为90.7</w:t>
      </w:r>
      <w:r>
        <w:t>1</w:t>
      </w:r>
      <w:r>
        <w:rPr>
          <w:rFonts w:hint="eastAsia"/>
        </w:rPr>
        <w:t>%。毕业去向</w:t>
      </w:r>
      <w:r>
        <w:t>分布详见下图。</w:t>
      </w:r>
    </w:p>
    <w:p>
      <w:pPr>
        <w:spacing w:line="360" w:lineRule="auto"/>
        <w:ind w:firstLine="480" w:firstLineChars="200"/>
        <w:jc w:val="both"/>
        <w:rPr>
          <w:rFonts w:ascii="Times New Roman" w:hAnsi="Times New Roman"/>
          <w:bCs/>
          <w:color w:val="000000"/>
          <w:szCs w:val="30"/>
          <w:lang w:val="zh-CN"/>
        </w:rPr>
      </w:pPr>
      <w:r>
        <w:rPr>
          <w:rFonts w:ascii="Times New Roman" w:hAnsi="Times New Roman"/>
          <w:bCs/>
          <w:color w:val="000000"/>
          <w:szCs w:val="30"/>
        </w:rPr>
        <mc:AlternateContent>
          <mc:Choice Requires="wps">
            <w:drawing>
              <wp:anchor distT="0" distB="0" distL="114300" distR="114300" simplePos="0" relativeHeight="251684864" behindDoc="0" locked="0" layoutInCell="1" allowOverlap="1">
                <wp:simplePos x="0" y="0"/>
                <wp:positionH relativeFrom="column">
                  <wp:posOffset>3776980</wp:posOffset>
                </wp:positionH>
                <wp:positionV relativeFrom="paragraph">
                  <wp:posOffset>368935</wp:posOffset>
                </wp:positionV>
                <wp:extent cx="180975" cy="1311275"/>
                <wp:effectExtent l="0" t="0" r="47625" b="22225"/>
                <wp:wrapNone/>
                <wp:docPr id="14" name="右大括号 43"/>
                <wp:cNvGraphicFramePr/>
                <a:graphic xmlns:a="http://schemas.openxmlformats.org/drawingml/2006/main">
                  <a:graphicData uri="http://schemas.microsoft.com/office/word/2010/wordprocessingShape">
                    <wps:wsp>
                      <wps:cNvSpPr/>
                      <wps:spPr>
                        <a:xfrm>
                          <a:off x="0" y="0"/>
                          <a:ext cx="180975" cy="1311275"/>
                        </a:xfrm>
                        <a:prstGeom prst="rightBrace">
                          <a:avLst/>
                        </a:prstGeom>
                        <a:noFill/>
                        <a:ln w="19050" cap="flat" cmpd="sng" algn="ctr">
                          <a:solidFill>
                            <a:srgbClr val="0F6FC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大括号 43" o:spid="_x0000_s1026" o:spt="88" type="#_x0000_t88" style="position:absolute;left:0pt;margin-left:297.4pt;margin-top:29.05pt;height:103.25pt;width:14.25pt;z-index:251684864;v-text-anchor:middle;mso-width-relative:page;mso-height-relative:page;" filled="f" stroked="t" coordsize="21600,21600" o:gfxdata="UEsDBAoAAAAAAIdO4kAAAAAAAAAAAAAAAAAEAAAAZHJzL1BLAwQUAAAACACHTuJAuFHagNkAAAAK&#10;AQAADwAAAGRycy9kb3ducmV2LnhtbE2PzU7DMBCE70i8g7VI3Kgdt41KGqdCSBwQQoLAAzjxNonw&#10;TxS7SeHpWU70tqMdzXxTHs7OshmnOASvIFsJYOjbYAbfKfj8eLrbAYtJe6Nt8KjgGyMcquurUhcm&#10;LP4d5zp1jEJ8LLSCPqWx4Dy2PTodV2FET79jmJxOJKeOm0kvFO4sl0Lk3OnBU0OvR3zssf2qT05B&#10;sm4WcqmTNOblx25f356b/EGp25tM7IElPKd/M/zhEzpUxNSEkzeRWQXb+w2hJzp2GTAy5HK9BtYo&#10;kPkmB16V/HJC9QtQSwMEFAAAAAgAh07iQM4jWvqEAgAA5wQAAA4AAABkcnMvZTJvRG9jLnhtbK1U&#10;S27bMBDdF+gdCO4bSY7zEyIHrg0XBYImQFp0PaYoiQB/JWnL6RW6yCUKdNNdFz1Reo4OKeXTtIss&#10;6gU9wxnO8D294enZTkmy5c4Loyta7OWUcM1MLXRb0Q/vV6+OKfEBdA3SaF7Ra+7p2ezli9Pelnxi&#10;OiNr7ggW0b7sbUW7EGyZZZ51XIHfM5ZrDDbGKQjoujarHfRYXclskueHWW9cbZ1h3HvcXQ5BOlZ0&#10;zylomkYwvjRso7gOQ1XHJQSE5DthPZ2l2zYNZ+GiaTwPRFYUkYa0YhO013HNZqdQtg5sJ9h4BXjO&#10;FZ5gUiA0Nr0vtYQAZOPEX6WUYM5404Q9ZlQ2AEmMIIoif8LNVQeWJyxItbf3pPv/V5a92146ImpU&#10;wpQSDQq/+O3Nj9uv3359+X5785NM9yNHvfUlpl7ZSzd6Hs0IeNc4Ff8RCtklXq/veeW7QBhuFsf5&#10;ydEBJQxDxX5RTNDBMtnDaet8eMONItGoqBNtF147YBE9lLA992E4cJcYt7VZCSlxH0qpSY+1T/ID&#10;/LAMUJYNygFNZRGa1y0lIFvUOwsulfRGijoej6e9a9cL6cgWokpWh6vF4Xi/P9Ji7yX4bshLoZgG&#10;pRIBR0IKVdHjPP7G01LHKE8yHBFEIgfqorU29TXS78ygS2/ZSmCTc/DhEhwKEdHgqIYLXBppEKIZ&#10;LUo64z7/az/moz4wSkmPwkb4nzbgOCXyrUblnBTTaZyE5EwPjibouMeR9eOI3qiFQVYKfBQsS2bM&#10;D/LObJxRH3Gi57ErhkAz7D0QPTqLMAwcvgmMz+cpDdVvIZzrK8ti8ciTNvNNMI1IX/qBHdRJdFD/&#10;STHjrMYBe+ynrIf3af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FHagNkAAAAKAQAADwAAAAAA&#10;AAABACAAAAAiAAAAZHJzL2Rvd25yZXYueG1sUEsBAhQAFAAAAAgAh07iQM4jWvqEAgAA5wQAAA4A&#10;AAAAAAAAAQAgAAAAKAEAAGRycy9lMm9Eb2MueG1sUEsFBgAAAAAGAAYAWQEAAB4GAAAAAA==&#10;" adj="248,10800">
                <v:fill on="f" focussize="0,0"/>
                <v:stroke weight="1.5pt" color="#0F6FC6" miterlimit="8" joinstyle="miter"/>
                <v:imagedata o:title=""/>
                <o:lock v:ext="edit" aspectratio="f"/>
              </v:shape>
            </w:pict>
          </mc:Fallback>
        </mc:AlternateContent>
      </w:r>
      <w:r>
        <w:rPr>
          <w:rFonts w:ascii="Times New Roman" w:hAnsi="Times New Roman"/>
          <w:bCs/>
          <w:color w:val="000000"/>
          <w:szCs w:val="30"/>
        </w:rPr>
        <mc:AlternateContent>
          <mc:Choice Requires="wps">
            <w:drawing>
              <wp:anchor distT="0" distB="0" distL="114300" distR="114300" simplePos="0" relativeHeight="251692032" behindDoc="0" locked="0" layoutInCell="1" allowOverlap="1">
                <wp:simplePos x="0" y="0"/>
                <wp:positionH relativeFrom="column">
                  <wp:posOffset>1247775</wp:posOffset>
                </wp:positionH>
                <wp:positionV relativeFrom="paragraph">
                  <wp:posOffset>1354455</wp:posOffset>
                </wp:positionV>
                <wp:extent cx="466725" cy="514350"/>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466725" cy="514350"/>
                        </a:xfrm>
                        <a:prstGeom prst="rect">
                          <a:avLst/>
                        </a:prstGeom>
                        <a:no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5pt;margin-top:106.65pt;height:40.5pt;width:36.75pt;z-index:251692032;mso-width-relative:page;mso-height-relative:page;" filled="f" stroked="f" coordsize="21600,21600" o:gfxdata="UEsDBAoAAAAAAIdO4kAAAAAAAAAAAAAAAAAEAAAAZHJzL1BLAwQUAAAACACHTuJAGFl+19sAAAAL&#10;AQAADwAAAGRycy9kb3ducmV2LnhtbE2Py07DMBBF90j8gzVI7KidhJY2jVOhSBUSoouWbrpzYjeJ&#10;sMchdh/w9Qwr2M3VHN1Hsbo6y85mDL1HCclEADPYeN1jK2H/vn6YAwtRoVbWo5HwZQKsytubQuXa&#10;X3BrzrvYMjLBkCsJXYxDznloOuNUmPjBIP2OfnQqkhxbrkd1IXNneSrEjDvVIyV0ajBVZ5qP3clJ&#10;eK3WG7WtUzf/ttXL2/F5+NwfplLe3yViCSyaa/yD4bc+VYeSOtX+hDowS3oxmxIqIU2yDBgR6ZOg&#10;dTUdi8cMeFnw/xvKH1BLAwQUAAAACACHTuJAc0GELjwCAABpBAAADgAAAGRycy9lMm9Eb2MueG1s&#10;rVTBbhMxEL0j8Q+W73STNEkh6qYKrYqQKlqpIM6O19tdyfYY2+lu+QD4A05cuPNd/Q6evUlaFQ49&#10;cPGOZ8Yz897M7PFJbzS7VT60ZEs+PhhxpqykqrU3Jf/08fzVa85CFLYSmqwq+Z0K/GT58sVx5xZq&#10;Qg3pSnmGIDYsOlfyJka3KIogG2VEOCCnLIw1eSMirv6mqLzoEN3oYjIazYuOfOU8SRUCtGeDkW8j&#10;+ucEpLpupTojuTHKxiGqV1pEQApN6wJf5mrrWsl4WddBRaZLDqQxn0gCeZ3OYnksFjdeuKaV2xLE&#10;c0p4gsmI1iLpPtSZiIJtfPtXKNNKT4HqeCDJFAOQzAhQjEdPuLluhFMZC6gObk96+H9h5YfbK8/a&#10;quTzwxlnVhi0/P7H9/ufv+9/fWNJCYo6FxbwvHbwjf1b6jE4O32AMiHva2/SF5gY7CD4bk+w6iOT&#10;UE7n86MJ0kiYZuPp4Sw3oHh47HyI7xQZloSSe/Qv0ypuL0JEIXDduaRcls5brXMPtWVdBjHKD/YW&#10;vNAWDxOEodQkxX7db3GtqboDLE/DbAQnz1skvxAhXgmPYQASrEu8xFFrQhLaSpw15L/+S5/80SNY&#10;OeswXCUPXzbCK870e4vuvRlPp2ka82U6O5rg4h9b1o8tdmNOCfM7xmI6mcXkH/VOrD2Zz9iqVcoK&#10;k7ASuUsed+JpHEYeWynVapWdMH9OxAt77WQKPdC52kSq28x0omngZsseJjA3YLstacQf37PXwx9i&#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WX7X2wAAAAsBAAAPAAAAAAAAAAEAIAAAACIAAABk&#10;cnMvZG93bnJldi54bWxQSwECFAAUAAAACACHTuJAc0GELjwCAABpBAAADgAAAAAAAAABACAAAAAq&#10;AQAAZHJzL2Uyb0RvYy54bWxQSwUGAAAAAAYABgBZAQAA2AUAAAAA&#10;">
                <v:fill on="f" focussize="0,0"/>
                <v:stroke on="f" weight="0.5pt"/>
                <v:imagedata o:title=""/>
                <o:lock v:ext="edit" aspectratio="f"/>
                <v:textbox>
                  <w:txbxContent>
                    <w:p/>
                  </w:txbxContent>
                </v:textbox>
              </v:shape>
            </w:pict>
          </mc:Fallback>
        </mc:AlternateContent>
      </w:r>
      <w:r>
        <w:rPr>
          <w:rFonts w:ascii="Times New Roman" w:hAnsi="Times New Roman"/>
          <w:bCs/>
          <w:color w:val="000000"/>
          <w:szCs w:val="30"/>
        </w:rPr>
        <mc:AlternateContent>
          <mc:Choice Requires="wps">
            <w:drawing>
              <wp:anchor distT="0" distB="0" distL="114300" distR="114300" simplePos="0" relativeHeight="251687936" behindDoc="0" locked="0" layoutInCell="1" allowOverlap="1">
                <wp:simplePos x="0" y="0"/>
                <wp:positionH relativeFrom="column">
                  <wp:posOffset>1285875</wp:posOffset>
                </wp:positionH>
                <wp:positionV relativeFrom="paragraph">
                  <wp:posOffset>781050</wp:posOffset>
                </wp:positionV>
                <wp:extent cx="466725" cy="5143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66725" cy="514350"/>
                        </a:xfrm>
                        <a:prstGeom prst="rect">
                          <a:avLst/>
                        </a:prstGeom>
                        <a:no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25pt;margin-top:61.5pt;height:40.5pt;width:36.75pt;z-index:251687936;mso-width-relative:page;mso-height-relative:page;" filled="f" stroked="f" coordsize="21600,21600" o:gfxdata="UEsDBAoAAAAAAIdO4kAAAAAAAAAAAAAAAAAEAAAAZHJzL1BLAwQUAAAACACHTuJAD8Zkw9oAAAAL&#10;AQAADwAAAGRycy9kb3ducmV2LnhtbE2PzU7DMBCE70i8g7VI3KhdQ0sV4lQoUoWE4NDSC7dNvE0i&#10;YjvE7g88PdtTue1oRrPf5MuT68WBxtgFb2A6USDI18F2vjGw/VjdLUDEhN5iHzwZ+KEIy+L6KsfM&#10;hqNf02GTGsElPmZooE1pyKSMdUsO4yQM5NnbhdFhYjk20o545HLXS63UXDrsPH9ocaCypfprs3cG&#10;XsvVO64r7Ra/ffnytnsevrefM2Nub6bqCUSiU7qE4YzP6FAwUxX23kbRG9BKzzjKhr7nUZzQj3M+&#10;qrP1oEAWufy/ofgDUEsDBBQAAAAIAIdO4kAHVBVVOQIAAGcEAAAOAAAAZHJzL2Uyb0RvYy54bWyt&#10;VMFuEzEQvSPxD5bvdJOQpBB1U4VWRUgVrVQQZ8fr7a5ke4ztdLd8APwBJy7c+a58B8/epC2FQw9c&#10;NuOZ8cy8N885Ou6NZjfKh5ZsyccHI86UlVS19rrkHz+cvXjFWYjCVkKTVSW/VYEfL58/O+rcQk2o&#10;IV0pz1DEhkXnSt7E6BZFEWSjjAgH5JRFsCZvRMTRXxeVFx2qG11MRqN50ZGvnCepQoD3dAjyXUX/&#10;lIJU161UpyQ3Rtk4VPVKiwhIoWld4Ms8bV0rGS/qOqjIdMmBNOYvmsBep2+xPBKLay9c08rdCOIp&#10;IzzCZERr0fSu1KmIgm18+1cp00pPgep4IMkUA5DMCFCMR4+4uWqEUxkLqA7ujvTw/8rK9zeXnrUV&#10;lDDmzAqDjW+/f9v++LX9+ZXBB4I6FxbIu3LIjP0b6pG89wc4E+6+9ib9AhFDHPTe3tGr+sgknNP5&#10;/HAy40wiNBtPX84y/cX9ZedDfKvIsGSU3GN7mVRxcx4iBkHqPiX1snTWap03qC3rSj5PJf+I4Ia2&#10;uJggDKMmK/brfodrTdUtYHkalBGcPGvR/FyEeCk8pAAkeCzxAp9aE5rQzuKsIf/lX/6Ujw0hylkH&#10;aZU8fN4IrzjT7yx293o8nSYt5sN0djjBwT+MrB9G7MacENSL9WC6bKb8qPdm7cl8wptapa4ICSvR&#10;u+Rxb57EQfB4k1KtVjkJ6nMintsrJ1PpgbTVJlLdZqYTTQM3O/agv7yA3VtJAn94zln3/w/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GZMPaAAAACwEAAA8AAAAAAAAAAQAgAAAAIgAAAGRycy9k&#10;b3ducmV2LnhtbFBLAQIUABQAAAAIAIdO4kAHVBVVOQIAAGcEAAAOAAAAAAAAAAEAIAAAACkBAABk&#10;cnMvZTJvRG9jLnhtbFBLBQYAAAAABgAGAFkBAADUBQAAAAA=&#10;">
                <v:fill on="f" focussize="0,0"/>
                <v:stroke on="f" weight="0.5pt"/>
                <v:imagedata o:title=""/>
                <o:lock v:ext="edit" aspectratio="f"/>
                <v:textbox>
                  <w:txbxContent>
                    <w:p/>
                  </w:txbxContent>
                </v:textbox>
              </v:shape>
            </w:pict>
          </mc:Fallback>
        </mc:AlternateContent>
      </w:r>
      <w:r>
        <w:rPr>
          <w:rFonts w:ascii="Times New Roman" w:hAnsi="Times New Roman"/>
          <w:bCs/>
          <w:color w:val="000000"/>
          <w:szCs w:val="30"/>
        </w:rPr>
        <mc:AlternateContent>
          <mc:Choice Requires="wps">
            <w:drawing>
              <wp:anchor distT="0" distB="0" distL="114300" distR="114300" simplePos="0" relativeHeight="251688960" behindDoc="0" locked="0" layoutInCell="1" allowOverlap="1">
                <wp:simplePos x="0" y="0"/>
                <wp:positionH relativeFrom="column">
                  <wp:posOffset>1301115</wp:posOffset>
                </wp:positionH>
                <wp:positionV relativeFrom="paragraph">
                  <wp:posOffset>860425</wp:posOffset>
                </wp:positionV>
                <wp:extent cx="380365" cy="342265"/>
                <wp:effectExtent l="0" t="0" r="635" b="635"/>
                <wp:wrapNone/>
                <wp:docPr id="9" name="human-resources_90527"/>
                <wp:cNvGraphicFramePr/>
                <a:graphic xmlns:a="http://schemas.openxmlformats.org/drawingml/2006/main">
                  <a:graphicData uri="http://schemas.microsoft.com/office/word/2010/wordprocessingShape">
                    <wps:wsp>
                      <wps:cNvSpPr/>
                      <wps:spPr bwMode="auto">
                        <a:xfrm>
                          <a:off x="0" y="0"/>
                          <a:ext cx="380365" cy="342265"/>
                        </a:xfrm>
                        <a:custGeom>
                          <a:avLst/>
                          <a:gdLst/>
                          <a:ahLst/>
                          <a:cxnLst/>
                          <a:rect l="0" t="0" r="r" b="b"/>
                          <a:pathLst>
                            <a:path w="609332" h="590139">
                              <a:moveTo>
                                <a:pt x="268572" y="412455"/>
                              </a:moveTo>
                              <a:lnTo>
                                <a:pt x="491841" y="412455"/>
                              </a:lnTo>
                              <a:lnTo>
                                <a:pt x="491841" y="422264"/>
                              </a:lnTo>
                              <a:lnTo>
                                <a:pt x="268572" y="422264"/>
                              </a:lnTo>
                              <a:lnTo>
                                <a:pt x="268572" y="412455"/>
                              </a:lnTo>
                              <a:close/>
                              <a:moveTo>
                                <a:pt x="268572" y="366588"/>
                              </a:moveTo>
                              <a:lnTo>
                                <a:pt x="526065" y="366588"/>
                              </a:lnTo>
                              <a:lnTo>
                                <a:pt x="526065" y="376397"/>
                              </a:lnTo>
                              <a:lnTo>
                                <a:pt x="268572" y="376397"/>
                              </a:lnTo>
                              <a:lnTo>
                                <a:pt x="268572" y="366588"/>
                              </a:lnTo>
                              <a:close/>
                              <a:moveTo>
                                <a:pt x="268572" y="325166"/>
                              </a:moveTo>
                              <a:lnTo>
                                <a:pt x="526065" y="325166"/>
                              </a:lnTo>
                              <a:lnTo>
                                <a:pt x="526065" y="334975"/>
                              </a:lnTo>
                              <a:lnTo>
                                <a:pt x="268572" y="334975"/>
                              </a:lnTo>
                              <a:lnTo>
                                <a:pt x="268572" y="325166"/>
                              </a:lnTo>
                              <a:close/>
                              <a:moveTo>
                                <a:pt x="324121" y="275089"/>
                              </a:moveTo>
                              <a:cubicBezTo>
                                <a:pt x="318170" y="277443"/>
                                <a:pt x="312041" y="279738"/>
                                <a:pt x="305736" y="281797"/>
                              </a:cubicBezTo>
                              <a:cubicBezTo>
                                <a:pt x="280515" y="290153"/>
                                <a:pt x="255824" y="295155"/>
                                <a:pt x="233549" y="297097"/>
                              </a:cubicBezTo>
                              <a:lnTo>
                                <a:pt x="233549" y="480454"/>
                              </a:lnTo>
                              <a:lnTo>
                                <a:pt x="572443" y="480454"/>
                              </a:lnTo>
                              <a:lnTo>
                                <a:pt x="572443" y="275089"/>
                              </a:lnTo>
                              <a:lnTo>
                                <a:pt x="324121" y="275089"/>
                              </a:lnTo>
                              <a:close/>
                              <a:moveTo>
                                <a:pt x="84086" y="221014"/>
                              </a:moveTo>
                              <a:cubicBezTo>
                                <a:pt x="85618" y="252907"/>
                                <a:pt x="92159" y="281975"/>
                                <a:pt x="92159" y="281975"/>
                              </a:cubicBezTo>
                              <a:lnTo>
                                <a:pt x="97580" y="280210"/>
                              </a:lnTo>
                              <a:lnTo>
                                <a:pt x="84086" y="221014"/>
                              </a:lnTo>
                              <a:close/>
                              <a:moveTo>
                                <a:pt x="405678" y="97028"/>
                              </a:moveTo>
                              <a:lnTo>
                                <a:pt x="430074" y="170759"/>
                              </a:lnTo>
                              <a:cubicBezTo>
                                <a:pt x="430133" y="171053"/>
                                <a:pt x="430309" y="171289"/>
                                <a:pt x="430427" y="171524"/>
                              </a:cubicBezTo>
                              <a:cubicBezTo>
                                <a:pt x="436497" y="190001"/>
                                <a:pt x="423238" y="212656"/>
                                <a:pt x="397369" y="233840"/>
                              </a:cubicBezTo>
                              <a:lnTo>
                                <a:pt x="609332" y="233840"/>
                              </a:lnTo>
                              <a:lnTo>
                                <a:pt x="609332" y="521704"/>
                              </a:lnTo>
                              <a:lnTo>
                                <a:pt x="430840" y="521704"/>
                              </a:lnTo>
                              <a:lnTo>
                                <a:pt x="430840" y="567249"/>
                              </a:lnTo>
                              <a:lnTo>
                                <a:pt x="503734" y="567249"/>
                              </a:lnTo>
                              <a:lnTo>
                                <a:pt x="503734" y="590139"/>
                              </a:lnTo>
                              <a:lnTo>
                                <a:pt x="302259" y="590139"/>
                              </a:lnTo>
                              <a:lnTo>
                                <a:pt x="302259" y="567249"/>
                              </a:lnTo>
                              <a:lnTo>
                                <a:pt x="375153" y="567249"/>
                              </a:lnTo>
                              <a:lnTo>
                                <a:pt x="375153" y="521704"/>
                              </a:lnTo>
                              <a:lnTo>
                                <a:pt x="196660" y="521704"/>
                              </a:lnTo>
                              <a:lnTo>
                                <a:pt x="196660" y="297332"/>
                              </a:lnTo>
                              <a:cubicBezTo>
                                <a:pt x="166784" y="294625"/>
                                <a:pt x="145452" y="284387"/>
                                <a:pt x="139795" y="267263"/>
                              </a:cubicBezTo>
                              <a:lnTo>
                                <a:pt x="129659" y="236605"/>
                              </a:lnTo>
                              <a:lnTo>
                                <a:pt x="115163" y="192649"/>
                              </a:lnTo>
                              <a:lnTo>
                                <a:pt x="275211" y="189472"/>
                              </a:lnTo>
                              <a:lnTo>
                                <a:pt x="405678" y="97028"/>
                              </a:lnTo>
                              <a:close/>
                              <a:moveTo>
                                <a:pt x="258034" y="66787"/>
                              </a:moveTo>
                              <a:cubicBezTo>
                                <a:pt x="251553" y="65271"/>
                                <a:pt x="243421" y="65698"/>
                                <a:pt x="235171" y="68434"/>
                              </a:cubicBezTo>
                              <a:cubicBezTo>
                                <a:pt x="218672" y="73848"/>
                                <a:pt x="208007" y="86381"/>
                                <a:pt x="211306" y="96443"/>
                              </a:cubicBezTo>
                              <a:cubicBezTo>
                                <a:pt x="214665" y="106506"/>
                                <a:pt x="230693" y="110213"/>
                                <a:pt x="247192" y="104799"/>
                              </a:cubicBezTo>
                              <a:cubicBezTo>
                                <a:pt x="263691" y="99386"/>
                                <a:pt x="274357" y="86793"/>
                                <a:pt x="270998" y="76790"/>
                              </a:cubicBezTo>
                              <a:cubicBezTo>
                                <a:pt x="269349" y="71759"/>
                                <a:pt x="264516" y="68302"/>
                                <a:pt x="258034" y="66787"/>
                              </a:cubicBezTo>
                              <a:close/>
                              <a:moveTo>
                                <a:pt x="212544" y="0"/>
                              </a:moveTo>
                              <a:lnTo>
                                <a:pt x="486901" y="13357"/>
                              </a:lnTo>
                              <a:lnTo>
                                <a:pt x="400281" y="80732"/>
                              </a:lnTo>
                              <a:lnTo>
                                <a:pt x="269761" y="173233"/>
                              </a:lnTo>
                              <a:lnTo>
                                <a:pt x="109778" y="176411"/>
                              </a:lnTo>
                              <a:lnTo>
                                <a:pt x="96579" y="176117"/>
                              </a:lnTo>
                              <a:lnTo>
                                <a:pt x="119383" y="159346"/>
                              </a:lnTo>
                              <a:lnTo>
                                <a:pt x="119854" y="152580"/>
                              </a:lnTo>
                              <a:lnTo>
                                <a:pt x="88093" y="171645"/>
                              </a:lnTo>
                              <a:lnTo>
                                <a:pt x="90922" y="180236"/>
                              </a:lnTo>
                              <a:lnTo>
                                <a:pt x="118852" y="285388"/>
                              </a:lnTo>
                              <a:cubicBezTo>
                                <a:pt x="100350" y="306748"/>
                                <a:pt x="72773" y="300569"/>
                                <a:pt x="72773" y="300569"/>
                              </a:cubicBezTo>
                              <a:cubicBezTo>
                                <a:pt x="54859" y="264675"/>
                                <a:pt x="66350" y="175352"/>
                                <a:pt x="66350" y="175352"/>
                              </a:cubicBezTo>
                              <a:lnTo>
                                <a:pt x="66409" y="167526"/>
                              </a:lnTo>
                              <a:lnTo>
                                <a:pt x="81494" y="158228"/>
                              </a:lnTo>
                              <a:lnTo>
                                <a:pt x="77840" y="156345"/>
                              </a:lnTo>
                              <a:lnTo>
                                <a:pt x="59279" y="164230"/>
                              </a:lnTo>
                              <a:lnTo>
                                <a:pt x="57982" y="175116"/>
                              </a:lnTo>
                              <a:lnTo>
                                <a:pt x="0" y="173704"/>
                              </a:lnTo>
                              <a:lnTo>
                                <a:pt x="212544" y="0"/>
                              </a:lnTo>
                              <a:close/>
                            </a:path>
                          </a:pathLst>
                        </a:custGeom>
                        <a:solidFill>
                          <a:srgbClr val="0F6FC6"/>
                        </a:solidFill>
                        <a:ln>
                          <a:noFill/>
                        </a:ln>
                      </wps:spPr>
                      <wps:bodyPr rot="0" vert="horz" wrap="square" lIns="91440" tIns="45720" rIns="91440" bIns="45720" anchor="ctr" anchorCtr="0" upright="1">
                        <a:noAutofit/>
                      </wps:bodyPr>
                    </wps:wsp>
                  </a:graphicData>
                </a:graphic>
              </wp:anchor>
            </w:drawing>
          </mc:Choice>
          <mc:Fallback>
            <w:pict>
              <v:shape id="human-resources_90527" o:spid="_x0000_s1026" o:spt="100" style="position:absolute;left:0pt;margin-left:102.45pt;margin-top:67.75pt;height:26.95pt;width:29.95pt;z-index:251688960;v-text-anchor:middle;mso-width-relative:page;mso-height-relative:page;" fillcolor="#0F6FC6" filled="t" stroked="f" coordsize="609332,590139" o:gfxdata="UEsDBAoAAAAAAIdO4kAAAAAAAAAAAAAAAAAEAAAAZHJzL1BLAwQUAAAACACHTuJA1e8BytoAAAAL&#10;AQAADwAAAGRycy9kb3ducmV2LnhtbE2PwU7DMBBE70j8g7VI3KjdkLZpiNNDBUi9tKIgzm68JBHx&#10;OoqdNv17lhMcd+ZpdqbYTK4TZxxC60nDfKZAIFXetlRr+Hh/echAhGjIms4TarhigE15e1OY3PoL&#10;veH5GGvBIRRyo6GJsc+lDFWDzoSZ75HY+/KDM5HPoZZ2MBcOd51MlFpKZ1riD43pcdtg9X0cnYZs&#10;211fD4e0nVbVtNt/Po+rcbfX+v5urp5ARJziHwy/9bk6lNzp5EeyQXQaEpWuGWXjcbEAwUSyTHnM&#10;iZVsnYIsC/l/Q/kDUEsDBBQAAAAIAIdO4kCUSqq6dgYAAF8VAAAOAAAAZHJzL2Uyb0RvYy54bWyt&#10;WNlu4zYUfS/QfxD03gn3JRhP0c5gigJdBmj7XCiyHBuwJVeSk0y/vkckryPGjpMAfQnF8PDum/n+&#10;+4fdtrhr+mHTtYuSv2Nl0bR1t9y0t4vyrz8/f+fKYhirdlltu7ZZlF+bofz+w7ffvL/fXzeiW3fb&#10;ZdMXINIO1/f7Rbkex/311dVQr5tdNbzr9k2Lw1XX76oR2/72atlX96C+214JxszVfdcv931XN8OA&#10;/36Kh2Wi2L+GYLdabermU1cfdk07Rqp9s61GqDSsN/uh/BCkXa2aevx9tRqasdguSmg6hr9ggu+b&#10;6e/Vh/fV9W1f7debOolQvUaEJzrtqk0LpkdSn6qxKg795oTUblP33dCtxnd1t7uKigSLQAvOntjm&#10;j3W1b4IuMPWwPxp9+P/I1r/dfemLzXJR+rJoqx0cvj7sqva7vhm6Qw8n/e2ZFnYy1P1+uAb+j/2X&#10;Pu0GfBY39792S9yrDmMXbPCw6neTLaBd8RBM/fVo6uZhLGr8UzomjS6LGkdSCYFv0LyqrulyfRjG&#10;n5ouEKrufhnG6KklfVVr+qofWvrs4e+nnu6Dp2+ip/fVON2bpJs+i/tFaZiXUpTFelFqz7j0QYdd&#10;d9f82QXcOCkhjNMWKIiruFCaxH3Ebds5XnnuFD/FE4rWfaA+RwsYQyVjEIrWiJ7L8jb0XHKiWW+7&#10;oQnGfdTlhI80RjuXpHrEEY2I18KwyaeTS+d4QtF6irZG+hBiCABC0Xoqy9vQ5yR5nc5Cc2PeoPMc&#10;T9LTeqqzVN5SFBGK1lOd34Y+J8nzOkuBkI6xKqxmzp/oXB9uNvWPzb/zCJfccYsyCm8La5WS0y2k&#10;VQhoyQVL4S+stzKEzvGQaStNvAkaR8/nXPJdsohjmscIE8hVnfEUWjuhIlkPWDAu8RRSaoUSN0nr&#10;LXuG5xP7P95Rjil9OStRHiYjhArxJnRmc5KA1mTOZzxEqOd96xRzydSCM04qPKbwOTM7bTimgMlW&#10;GnYOmUmG9ILrZEfHUwRfOkNG5yxI5qgZKLgURI5BwhR6BKI1gp9RhkDPW0ExbWzUCM4XLxUyJRmz&#10;MZIQ4hb6IrRnpSlXKMqGO1xG93PLWR6aOJQsWg2HImYYWQ2HCg12MjcONUI4csu55DviaVBE4k3P&#10;GOPzFFRCCuRd8CJHfw2VjHii3EqT3Cgl7HqWJxk2cqNGOYXF/A6haD1BawErklaEopU0YZMQk7Bv&#10;RBuk3VP/5LQ1k1ZGbyIK3oKO40Du+5y2ZEKkdEjDw2vRL0siLYpYjKhXyD1Hv2xv7o0xr7b3DI3i&#10;OU1LuZbnYhOt0zqqxsqIrBpzFFMdpynhlHRZhcEIZn0q8rCSCUX+hTLChTdUljB7sMuNlXN09pSr&#10;HtPW5fhBfRY8tkfuvMIUmGufR8QzpYZAz9cogUKYwnQyHY1Dlys1Gr1OMWIwpWcFQCgM1lFuZL/P&#10;WrCQGrUm5JuBAyg5c0fmu5iogjv4JFxEV1c5UeZQN8OZM9LlwnAuWWxE3qRh4cSn5xkqTHCBKMd0&#10;CRqwPpUxAZo+OZKjfeTzgLLcR1E5U9aTl3Mu+S4paVAco3W8l+ifc5ZWSU1KWjDPzpiHnacqZo31&#10;54vqeYYeA168yFO/OepoFKI1nBmHepMxPB8zOYsLIceFVjFHSdbHcKOITQXaGVTD6AaMRRSdBKI1&#10;gRl6bAQ7Zk/KRQ4WxluTKAOLHnopvThGt9TJuTUKeXkJjaJgqe0azi9LzTl8nYJJwx80+pO4tEYd&#10;gXaYCEPX1lPuXhTEOfzKjGDL4dCLYM+8SHGLmQiT8iUVOXfuWEq1PP5II2nzWEiyMyZ1rP5IIJtn&#10;scU0H0XFFIS6MXGnWDx39qos1spReTbKxN89RNQYEgahL6HLjOG5sxOGpGpUzhhFoxYYicvWc1x5&#10;cqITx8GQKNIaKSPw0ozCtZEvOFF7/PCJHjcYxS6HB6LUJY+j6SPbL3k8Oo5b+dJQJU7TmxSimgBb&#10;Tu8gYbo9vo0EAz++vgzddrP8vNlupzgY+tubj9u+uKumB7XP5vNHEjaDbdsJ3HbTNdIFTKYXpOnN&#10;KL4l3XTLr3g/6rv4Koc3SXysu/7fsrjHi9yiHP45VH1TFtufWzx5ea4m849ho/BzC5t+fnIzP6na&#10;GqQWZT32ZRE3H8f48HfY95vbNXjx8NTTdj/g5Wq1mV6YgoRRrrTBu1uwTnojnB725vuAenwX/fA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1e8BytoAAAALAQAADwAAAAAAAAABACAAAAAiAAAAZHJz&#10;L2Rvd25yZXYueG1sUEsBAhQAFAAAAAgAh07iQJRKqrp2BgAAXxUAAA4AAAAAAAAAAQAgAAAAKQEA&#10;AGRycy9lMm9Eb2MueG1sUEsFBgAAAAAGAAYAWQEAABEKAAAAAA==&#10;" path="m268572,412455l491841,412455,491841,422264,268572,422264,268572,412455xm268572,366588l526065,366588,526065,376397,268572,376397,268572,366588xm268572,325166l526065,325166,526065,334975,268572,334975,268572,325166xm324121,275089c318170,277443,312041,279738,305736,281797c280515,290153,255824,295155,233549,297097l233549,480454,572443,480454,572443,275089,324121,275089xm84086,221014c85618,252907,92159,281975,92159,281975l97580,280210,84086,221014xm405678,97028l430074,170759c430133,171053,430309,171289,430427,171524c436497,190001,423238,212656,397369,233840l609332,233840,609332,521704,430840,521704,430840,567249,503734,567249,503734,590139,302259,590139,302259,567249,375153,567249,375153,521704,196660,521704,196660,297332c166784,294625,145452,284387,139795,267263l129659,236605,115163,192649,275211,189472,405678,97028xm258034,66787c251553,65271,243421,65698,235171,68434c218672,73848,208007,86381,211306,96443c214665,106506,230693,110213,247192,104799c263691,99386,274357,86793,270998,76790c269349,71759,264516,68302,258034,66787xm212544,0l486901,13357,400281,80732,269761,173233,109778,176411,96579,176117,119383,159346,119854,152580,88093,171645,90922,180236,118852,285388c100350,306748,72773,300569,72773,300569c54859,264675,66350,175352,66350,175352l66409,167526,81494,158228,77840,156345,59279,164230,57982,175116,0,173704,212544,0xe">
                <v:fill on="t" focussize="0,0"/>
                <v:stroke on="f"/>
                <v:imagedata o:title=""/>
                <o:lock v:ext="edit" aspectratio="f"/>
              </v:shape>
            </w:pict>
          </mc:Fallback>
        </mc:AlternateContent>
      </w:r>
      <w:r>
        <w:rPr>
          <w:rFonts w:ascii="Times New Roman" w:hAnsi="Times New Roman"/>
          <w:bCs/>
          <w:color w:val="000000"/>
          <w:szCs w:val="30"/>
        </w:rPr>
        <mc:AlternateContent>
          <mc:Choice Requires="wps">
            <w:drawing>
              <wp:anchor distT="0" distB="0" distL="114300" distR="114300" simplePos="0" relativeHeight="251680768" behindDoc="0" locked="0" layoutInCell="1" allowOverlap="1">
                <wp:simplePos x="0" y="0"/>
                <wp:positionH relativeFrom="column">
                  <wp:posOffset>1749425</wp:posOffset>
                </wp:positionH>
                <wp:positionV relativeFrom="paragraph">
                  <wp:posOffset>882650</wp:posOffset>
                </wp:positionV>
                <wp:extent cx="1914525" cy="345440"/>
                <wp:effectExtent l="0" t="0" r="15875" b="10795"/>
                <wp:wrapNone/>
                <wp:docPr id="31" name="文本框 1091"/>
                <wp:cNvGraphicFramePr/>
                <a:graphic xmlns:a="http://schemas.openxmlformats.org/drawingml/2006/main">
                  <a:graphicData uri="http://schemas.microsoft.com/office/word/2010/wordprocessingShape">
                    <wps:wsp>
                      <wps:cNvSpPr/>
                      <wps:spPr bwMode="auto">
                        <a:xfrm>
                          <a:off x="0" y="0"/>
                          <a:ext cx="1914525" cy="345203"/>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升学20.52%</w:t>
                            </w:r>
                          </w:p>
                          <w:p>
                            <w:pPr>
                              <w:widowControl w:val="0"/>
                              <w:adjustRightInd w:val="0"/>
                              <w:snapToGrid w:val="0"/>
                              <w:spacing w:line="240" w:lineRule="atLeast"/>
                              <w:jc w:val="center"/>
                              <w:rPr>
                                <w:rFonts w:ascii="微软雅黑" w:hAnsi="微软雅黑" w:eastAsia="微软雅黑"/>
                                <w:b/>
                                <w:bCs/>
                                <w:color w:val="FFFFFF"/>
                                <w:sz w:val="21"/>
                                <w:szCs w:val="21"/>
                              </w:rPr>
                            </w:pPr>
                          </w:p>
                        </w:txbxContent>
                      </wps:txbx>
                      <wps:bodyPr rot="0" vert="horz" wrap="square" lIns="91440" tIns="45720" rIns="91440" bIns="45720" anchor="t" anchorCtr="0" upright="1">
                        <a:noAutofit/>
                      </wps:bodyPr>
                    </wps:wsp>
                  </a:graphicData>
                </a:graphic>
              </wp:anchor>
            </w:drawing>
          </mc:Choice>
          <mc:Fallback>
            <w:pict>
              <v:roundrect id="文本框 1091" o:spid="_x0000_s1026" o:spt="2" style="position:absolute;left:0pt;margin-left:137.75pt;margin-top:69.5pt;height:27.2pt;width:150.75pt;z-index:251680768;mso-width-relative:page;mso-height-relative:page;" fillcolor="#009DD9" filled="t" stroked="t" coordsize="21600,21600" arcsize="0.166666666666667" o:gfxdata="UEsDBAoAAAAAAIdO4kAAAAAAAAAAAAAAAAAEAAAAZHJzL1BLAwQUAAAACACHTuJAX7H7TtoAAAAL&#10;AQAADwAAAGRycy9kb3ducmV2LnhtbE2PMU/DMBCFdyT+g3VILIjabUhDQ5wOiE4gBAUGNjc+kqjx&#10;OYqdJvx7jgm2u3tP775XbGfXiRMOofWkYblQIJAqb1uqNby/7a5vQYRoyJrOE2r4xgDb8vysMLn1&#10;E73iaR9rwSEUcqOhibHPpQxVg86Ehe+RWPvygzOR16GWdjATh7tOrpRaS2da4g+N6fG+weq4H52G&#10;XeXmRH6+qOnx+ETjw8fYr5+vtL68WKo7EBHn+GeGX3xGh5KZDn4kG0SnYZWlKVtZSDZcih1plvFw&#10;4MsmuQFZFvJ/h/IHUEsDBBQAAAAIAIdO4kA7/+ePRgIAAIMEAAAOAAAAZHJzL2Uyb0RvYy54bWyt&#10;VM2O0zAQviPxDpbvNEl/stuq6Qq1KkLiZ8XCA7iO0xj5D9tpWh6AfQNOXLjzXH0Oxk62tAuHPZBD&#10;NJPxfDPfN+PMb/ZSoB2zjmtV4GyQYsQU1SVX2wJ/+rh+cY2R80SVRGjFCnxgDt8snj+bt2bGhrrW&#10;omQWAYhys9YUuPbezJLE0ZpJ4gbaMAXBSltJPLh2m5SWtIAuRTJM0zxptS2N1ZQ5B19XXRD3iPYp&#10;gLqqOGUrTRvJlO9QLRPEAyVXc+PwInZbVYz691XlmEeiwMDUxzcUAXsT3sliTmZbS0zNad8CeUoL&#10;jzhJwhUUPUGtiCeosfwvKMmp1U5XfkC1TDoiURFgkaWPtLmriWGRC0jtzEl09/9g6bvdrUW8LPAo&#10;w0gRCRM/fr8//vh1/PkNZek0CxK1xs3g5J25tb3nwESb9q0uIYE0Xkf2+8rKoALwQvso8uEkMtt7&#10;ROFjNs3Gk+EEIwqxEZjpKJRIyOwh21jnXzEtUTAKbHWjyg8wyViC7N44H5Uu+3ZJ+RmjSgqY244I&#10;lOV5ftUj9ocB+wEzZDoteLnmQkTHbjdLYRGkQqvpdLWa9skXx4RCLfQ+vErT2MZF0F1grPP1Mv8X&#10;huQebo7gssDXaXj6Q0IB/SBxELUT2+83+17pjS4PoLXV3e7CzQWj1vYrRi3sbYHdl4ZYhpF4rWAx&#10;QN1xWPTojCdXQ3DseWRzHiGKAlSBPUadufTd5WiM5dsaKmWRrtIvYcYV92FSodWuq96B3YwD7O9R&#10;WP5zP5768+9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sftO2gAAAAsBAAAPAAAAAAAAAAEA&#10;IAAAACIAAABkcnMvZG93bnJldi54bWxQSwECFAAUAAAACACHTuJAO//nj0YCAACDBAAADgAAAAAA&#10;AAABACAAAAApAQAAZHJzL2Uyb0RvYy54bWxQSwUGAAAAAAYABgBZAQAA4QUAAAAA&#10;">
                <v:fill on="t" focussize="0,0"/>
                <v:stroke weight="1pt" color="#0F6FC6" miterlimit="8" joinstyle="miter"/>
                <v:imagedata o:title=""/>
                <o:lock v:ext="edit" aspectratio="f"/>
                <v:textbo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升学20.52%</w:t>
                      </w:r>
                    </w:p>
                    <w:p>
                      <w:pPr>
                        <w:widowControl w:val="0"/>
                        <w:adjustRightInd w:val="0"/>
                        <w:snapToGrid w:val="0"/>
                        <w:spacing w:line="240" w:lineRule="atLeast"/>
                        <w:jc w:val="center"/>
                        <w:rPr>
                          <w:rFonts w:ascii="微软雅黑" w:hAnsi="微软雅黑" w:eastAsia="微软雅黑"/>
                          <w:b/>
                          <w:bCs/>
                          <w:color w:val="FFFFFF"/>
                          <w:sz w:val="21"/>
                          <w:szCs w:val="21"/>
                        </w:rPr>
                      </w:pPr>
                    </w:p>
                  </w:txbxContent>
                </v:textbox>
              </v:roundrect>
            </w:pict>
          </mc:Fallback>
        </mc:AlternateContent>
      </w:r>
      <w:r>
        <w:rPr>
          <w:rFonts w:ascii="Times New Roman" w:hAnsi="Times New Roman"/>
          <w:bCs/>
          <w:color w:val="000000"/>
          <w:szCs w:val="30"/>
        </w:rPr>
        <mc:AlternateContent>
          <mc:Choice Requires="wps">
            <w:drawing>
              <wp:anchor distT="0" distB="0" distL="114300" distR="114300" simplePos="0" relativeHeight="251691008" behindDoc="0" locked="0" layoutInCell="1" allowOverlap="1">
                <wp:simplePos x="0" y="0"/>
                <wp:positionH relativeFrom="column">
                  <wp:posOffset>1323975</wp:posOffset>
                </wp:positionH>
                <wp:positionV relativeFrom="paragraph">
                  <wp:posOffset>1405255</wp:posOffset>
                </wp:positionV>
                <wp:extent cx="381000" cy="359410"/>
                <wp:effectExtent l="0" t="0" r="0" b="0"/>
                <wp:wrapNone/>
                <wp:docPr id="8" name="human-resources_90527"/>
                <wp:cNvGraphicFramePr/>
                <a:graphic xmlns:a="http://schemas.openxmlformats.org/drawingml/2006/main">
                  <a:graphicData uri="http://schemas.microsoft.com/office/word/2010/wordprocessingShape">
                    <wps:wsp>
                      <wps:cNvSpPr/>
                      <wps:spPr bwMode="auto">
                        <a:xfrm>
                          <a:off x="0" y="0"/>
                          <a:ext cx="381000" cy="359410"/>
                        </a:xfrm>
                        <a:custGeom>
                          <a:avLst/>
                          <a:gdLst/>
                          <a:ahLst/>
                          <a:cxnLst/>
                          <a:rect l="0" t="0" r="r" b="b"/>
                          <a:pathLst>
                            <a:path w="589914" h="568993">
                              <a:moveTo>
                                <a:pt x="124946" y="446410"/>
                              </a:moveTo>
                              <a:cubicBezTo>
                                <a:pt x="178848" y="448289"/>
                                <a:pt x="219005" y="470305"/>
                                <a:pt x="221161" y="471379"/>
                              </a:cubicBezTo>
                              <a:lnTo>
                                <a:pt x="215411" y="481402"/>
                              </a:lnTo>
                              <a:cubicBezTo>
                                <a:pt x="213974" y="481402"/>
                                <a:pt x="146417" y="444172"/>
                                <a:pt x="70235" y="464219"/>
                              </a:cubicBezTo>
                              <a:lnTo>
                                <a:pt x="67360" y="452764"/>
                              </a:lnTo>
                              <a:cubicBezTo>
                                <a:pt x="87484" y="447394"/>
                                <a:pt x="106978" y="445783"/>
                                <a:pt x="124946" y="446410"/>
                              </a:cubicBezTo>
                              <a:close/>
                              <a:moveTo>
                                <a:pt x="124946" y="413535"/>
                              </a:moveTo>
                              <a:cubicBezTo>
                                <a:pt x="178848" y="415414"/>
                                <a:pt x="219005" y="437430"/>
                                <a:pt x="221161" y="438504"/>
                              </a:cubicBezTo>
                              <a:lnTo>
                                <a:pt x="215411" y="448527"/>
                              </a:lnTo>
                              <a:cubicBezTo>
                                <a:pt x="213974" y="448527"/>
                                <a:pt x="146417" y="411297"/>
                                <a:pt x="70235" y="431344"/>
                              </a:cubicBezTo>
                              <a:lnTo>
                                <a:pt x="67360" y="419889"/>
                              </a:lnTo>
                              <a:cubicBezTo>
                                <a:pt x="87484" y="414519"/>
                                <a:pt x="106978" y="412908"/>
                                <a:pt x="124946" y="413535"/>
                              </a:cubicBezTo>
                              <a:close/>
                              <a:moveTo>
                                <a:pt x="124946" y="381226"/>
                              </a:moveTo>
                              <a:cubicBezTo>
                                <a:pt x="178848" y="383309"/>
                                <a:pt x="219005" y="404543"/>
                                <a:pt x="221161" y="405618"/>
                              </a:cubicBezTo>
                              <a:lnTo>
                                <a:pt x="215411" y="415652"/>
                              </a:lnTo>
                              <a:cubicBezTo>
                                <a:pt x="213974" y="415652"/>
                                <a:pt x="146417" y="378382"/>
                                <a:pt x="70235" y="398450"/>
                              </a:cubicBezTo>
                              <a:lnTo>
                                <a:pt x="67360" y="386983"/>
                              </a:lnTo>
                              <a:cubicBezTo>
                                <a:pt x="87484" y="381965"/>
                                <a:pt x="106978" y="380532"/>
                                <a:pt x="124946" y="381226"/>
                              </a:cubicBezTo>
                              <a:close/>
                              <a:moveTo>
                                <a:pt x="124946" y="349730"/>
                              </a:moveTo>
                              <a:cubicBezTo>
                                <a:pt x="178848" y="351813"/>
                                <a:pt x="219005" y="373047"/>
                                <a:pt x="221161" y="374122"/>
                              </a:cubicBezTo>
                              <a:lnTo>
                                <a:pt x="215411" y="384156"/>
                              </a:lnTo>
                              <a:cubicBezTo>
                                <a:pt x="213974" y="384156"/>
                                <a:pt x="146417" y="346886"/>
                                <a:pt x="70235" y="366954"/>
                              </a:cubicBezTo>
                              <a:lnTo>
                                <a:pt x="67360" y="355487"/>
                              </a:lnTo>
                              <a:cubicBezTo>
                                <a:pt x="87484" y="350469"/>
                                <a:pt x="106978" y="349036"/>
                                <a:pt x="124946" y="349730"/>
                              </a:cubicBezTo>
                              <a:close/>
                              <a:moveTo>
                                <a:pt x="124946" y="315231"/>
                              </a:moveTo>
                              <a:cubicBezTo>
                                <a:pt x="178848" y="317312"/>
                                <a:pt x="219005" y="338522"/>
                                <a:pt x="221161" y="339596"/>
                              </a:cubicBezTo>
                              <a:lnTo>
                                <a:pt x="215411" y="351051"/>
                              </a:lnTo>
                              <a:cubicBezTo>
                                <a:pt x="213974" y="349619"/>
                                <a:pt x="146417" y="312389"/>
                                <a:pt x="70235" y="332436"/>
                              </a:cubicBezTo>
                              <a:lnTo>
                                <a:pt x="67360" y="320981"/>
                              </a:lnTo>
                              <a:cubicBezTo>
                                <a:pt x="87484" y="315969"/>
                                <a:pt x="106978" y="314537"/>
                                <a:pt x="124946" y="315231"/>
                              </a:cubicBezTo>
                              <a:close/>
                              <a:moveTo>
                                <a:pt x="373313" y="290957"/>
                              </a:moveTo>
                              <a:lnTo>
                                <a:pt x="367575" y="300990"/>
                              </a:lnTo>
                              <a:lnTo>
                                <a:pt x="363272" y="366921"/>
                              </a:lnTo>
                              <a:lnTo>
                                <a:pt x="383354" y="376954"/>
                              </a:lnTo>
                              <a:lnTo>
                                <a:pt x="437863" y="333955"/>
                              </a:lnTo>
                              <a:lnTo>
                                <a:pt x="440732" y="326789"/>
                              </a:lnTo>
                              <a:lnTo>
                                <a:pt x="409174" y="338255"/>
                              </a:lnTo>
                              <a:lnTo>
                                <a:pt x="404871" y="311022"/>
                              </a:lnTo>
                              <a:lnTo>
                                <a:pt x="383354" y="325355"/>
                              </a:lnTo>
                              <a:lnTo>
                                <a:pt x="373313" y="290957"/>
                              </a:lnTo>
                              <a:close/>
                              <a:moveTo>
                                <a:pt x="124946" y="284361"/>
                              </a:moveTo>
                              <a:cubicBezTo>
                                <a:pt x="178848" y="285905"/>
                                <a:pt x="219005" y="307384"/>
                                <a:pt x="221161" y="309532"/>
                              </a:cubicBezTo>
                              <a:lnTo>
                                <a:pt x="215411" y="319555"/>
                              </a:lnTo>
                              <a:cubicBezTo>
                                <a:pt x="213974" y="319555"/>
                                <a:pt x="146417" y="282325"/>
                                <a:pt x="70235" y="302372"/>
                              </a:cubicBezTo>
                              <a:lnTo>
                                <a:pt x="67360" y="290917"/>
                              </a:lnTo>
                              <a:cubicBezTo>
                                <a:pt x="87484" y="285547"/>
                                <a:pt x="106978" y="283847"/>
                                <a:pt x="124946" y="284361"/>
                              </a:cubicBezTo>
                              <a:close/>
                              <a:moveTo>
                                <a:pt x="124946" y="251302"/>
                              </a:moveTo>
                              <a:cubicBezTo>
                                <a:pt x="178848" y="252786"/>
                                <a:pt x="219005" y="274093"/>
                                <a:pt x="221161" y="275172"/>
                              </a:cubicBezTo>
                              <a:lnTo>
                                <a:pt x="215411" y="286680"/>
                              </a:lnTo>
                              <a:cubicBezTo>
                                <a:pt x="213974" y="285242"/>
                                <a:pt x="146417" y="249279"/>
                                <a:pt x="70235" y="269418"/>
                              </a:cubicBezTo>
                              <a:lnTo>
                                <a:pt x="67360" y="257910"/>
                              </a:lnTo>
                              <a:cubicBezTo>
                                <a:pt x="87484" y="252516"/>
                                <a:pt x="106978" y="250808"/>
                                <a:pt x="124946" y="251302"/>
                              </a:cubicBezTo>
                              <a:close/>
                              <a:moveTo>
                                <a:pt x="117715" y="206299"/>
                              </a:moveTo>
                              <a:cubicBezTo>
                                <a:pt x="80391" y="206299"/>
                                <a:pt x="50244" y="214900"/>
                                <a:pt x="38760" y="219201"/>
                              </a:cubicBezTo>
                              <a:lnTo>
                                <a:pt x="38760" y="513084"/>
                              </a:lnTo>
                              <a:cubicBezTo>
                                <a:pt x="57422" y="505916"/>
                                <a:pt x="80391" y="501615"/>
                                <a:pt x="106230" y="501615"/>
                              </a:cubicBezTo>
                              <a:cubicBezTo>
                                <a:pt x="169394" y="501615"/>
                                <a:pt x="233994" y="525986"/>
                                <a:pt x="252656" y="533154"/>
                              </a:cubicBezTo>
                              <a:lnTo>
                                <a:pt x="252656" y="415601"/>
                              </a:lnTo>
                              <a:lnTo>
                                <a:pt x="244043" y="425636"/>
                              </a:lnTo>
                              <a:lnTo>
                                <a:pt x="244043" y="249306"/>
                              </a:lnTo>
                              <a:cubicBezTo>
                                <a:pt x="209590" y="220635"/>
                                <a:pt x="166523" y="206299"/>
                                <a:pt x="117715" y="206299"/>
                              </a:cubicBezTo>
                              <a:close/>
                              <a:moveTo>
                                <a:pt x="117715" y="191963"/>
                              </a:moveTo>
                              <a:cubicBezTo>
                                <a:pt x="170830" y="191963"/>
                                <a:pt x="216767" y="207732"/>
                                <a:pt x="254092" y="240705"/>
                              </a:cubicBezTo>
                              <a:cubicBezTo>
                                <a:pt x="291416" y="207732"/>
                                <a:pt x="337353" y="191963"/>
                                <a:pt x="391904" y="191963"/>
                              </a:cubicBezTo>
                              <a:lnTo>
                                <a:pt x="381855" y="206299"/>
                              </a:lnTo>
                              <a:cubicBezTo>
                                <a:pt x="337353" y="207732"/>
                                <a:pt x="298593" y="223502"/>
                                <a:pt x="265576" y="249306"/>
                              </a:cubicBezTo>
                              <a:lnTo>
                                <a:pt x="265576" y="425636"/>
                              </a:lnTo>
                              <a:lnTo>
                                <a:pt x="256963" y="415601"/>
                              </a:lnTo>
                              <a:lnTo>
                                <a:pt x="256963" y="533154"/>
                              </a:lnTo>
                              <a:cubicBezTo>
                                <a:pt x="275625" y="524552"/>
                                <a:pt x="335918" y="500182"/>
                                <a:pt x="400517" y="500182"/>
                              </a:cubicBezTo>
                              <a:cubicBezTo>
                                <a:pt x="426357" y="500182"/>
                                <a:pt x="449326" y="504482"/>
                                <a:pt x="470859" y="513084"/>
                              </a:cubicBezTo>
                              <a:lnTo>
                                <a:pt x="470859" y="325286"/>
                              </a:lnTo>
                              <a:lnTo>
                                <a:pt x="505312" y="255040"/>
                              </a:lnTo>
                              <a:lnTo>
                                <a:pt x="505312" y="557525"/>
                              </a:lnTo>
                              <a:lnTo>
                                <a:pt x="287109" y="557525"/>
                              </a:lnTo>
                              <a:cubicBezTo>
                                <a:pt x="279931" y="564692"/>
                                <a:pt x="268447" y="568993"/>
                                <a:pt x="255527" y="568993"/>
                              </a:cubicBezTo>
                              <a:cubicBezTo>
                                <a:pt x="242607" y="568993"/>
                                <a:pt x="231123" y="564692"/>
                                <a:pt x="223945" y="557525"/>
                              </a:cubicBezTo>
                              <a:lnTo>
                                <a:pt x="0" y="557525"/>
                              </a:lnTo>
                              <a:lnTo>
                                <a:pt x="0" y="253607"/>
                              </a:lnTo>
                              <a:cubicBezTo>
                                <a:pt x="0" y="246439"/>
                                <a:pt x="10049" y="240705"/>
                                <a:pt x="24404" y="237837"/>
                              </a:cubicBezTo>
                              <a:lnTo>
                                <a:pt x="24404" y="209166"/>
                              </a:lnTo>
                              <a:lnTo>
                                <a:pt x="28711" y="206299"/>
                              </a:lnTo>
                              <a:cubicBezTo>
                                <a:pt x="30146" y="206299"/>
                                <a:pt x="67471" y="191963"/>
                                <a:pt x="117715" y="191963"/>
                              </a:cubicBezTo>
                              <a:close/>
                              <a:moveTo>
                                <a:pt x="512454" y="24366"/>
                              </a:moveTo>
                              <a:lnTo>
                                <a:pt x="499544" y="50165"/>
                              </a:lnTo>
                              <a:lnTo>
                                <a:pt x="552618" y="77397"/>
                              </a:lnTo>
                              <a:lnTo>
                                <a:pt x="565528" y="50165"/>
                              </a:lnTo>
                              <a:lnTo>
                                <a:pt x="512454" y="24366"/>
                              </a:lnTo>
                              <a:close/>
                              <a:moveTo>
                                <a:pt x="503847" y="0"/>
                              </a:moveTo>
                              <a:lnTo>
                                <a:pt x="589914" y="41565"/>
                              </a:lnTo>
                              <a:lnTo>
                                <a:pt x="554053" y="114663"/>
                              </a:lnTo>
                              <a:lnTo>
                                <a:pt x="443601" y="341121"/>
                              </a:lnTo>
                              <a:lnTo>
                                <a:pt x="350362" y="415652"/>
                              </a:lnTo>
                              <a:lnTo>
                                <a:pt x="360403" y="298123"/>
                              </a:lnTo>
                              <a:lnTo>
                                <a:pt x="469421" y="73098"/>
                              </a:lnTo>
                              <a:lnTo>
                                <a:pt x="503847" y="0"/>
                              </a:lnTo>
                              <a:close/>
                            </a:path>
                          </a:pathLst>
                        </a:custGeom>
                        <a:solidFill>
                          <a:srgbClr val="0F6FC6"/>
                        </a:solidFill>
                        <a:ln>
                          <a:noFill/>
                        </a:ln>
                      </wps:spPr>
                      <wps:bodyPr rot="0" vert="horz" wrap="square" lIns="91440" tIns="45720" rIns="91440" bIns="45720" anchor="ctr" anchorCtr="0" upright="1">
                        <a:noAutofit/>
                      </wps:bodyPr>
                    </wps:wsp>
                  </a:graphicData>
                </a:graphic>
              </wp:anchor>
            </w:drawing>
          </mc:Choice>
          <mc:Fallback>
            <w:pict>
              <v:shape id="human-resources_90527" o:spid="_x0000_s1026" o:spt="100" style="position:absolute;left:0pt;margin-left:104.25pt;margin-top:110.65pt;height:28.3pt;width:30pt;z-index:251691008;v-text-anchor:middle;mso-width-relative:page;mso-height-relative:page;" fillcolor="#0F6FC6" filled="t" stroked="f" coordsize="589914,568993" o:gfxdata="UEsDBAoAAAAAAIdO4kAAAAAAAAAAAAAAAAAEAAAAZHJzL1BLAwQUAAAACACHTuJAwRlOYdkAAAAL&#10;AQAADwAAAGRycy9kb3ducmV2LnhtbE2PMU/DMBCFdyT+g3VILIjaCdCGNE6HSEhdGAhdurnxNYka&#10;n6PYacu/5zrB9u7e07vvis3VDeKMU+g9aUgWCgRS421PrYbd98dzBiJEQ9YMnlDDDwbYlPd3hcmt&#10;v9AXnuvYCi6hkBsNXYxjLmVoOnQmLPyIxN7RT85EHqdW2slcuNwNMlVqKZ3piS90ZsSqw+ZUz07D&#10;U7Z93e1Ve9zX49xYv60+k67S+vEhUWsQEa/xLww3fEaHkpkOfiYbxKAhVdkbR1mkyQsITqTL2+bA&#10;YrV6B1kW8v8P5S9QSwMEFAAAAAgAh07iQDWqFFPACAAAaR8AAA4AAABkcnMvZTJvRG9jLnhtbK1Z&#10;WW/jyBF+D5D/IOh9x32TbYxnkcxgggDJZoHdPAe0RFsCJFEh6WP21+fro9jdOmwayItJuau6q+qr&#10;k/3559f9bvHc9sO2O9wt+Se2XLSHVbfeHh7vlv/+/ftP9XIxjM1h3ey6Q3u3/NEOy5+//PlPn1+O&#10;t63oNt1u3fYLbHIYbl+Od8vNOB5vb26G1abdN8On7tgesPjQ9ftmxM/+8WbdNy/Yfb+7EYyZm5eu&#10;Xx/7btUOA/77LSwu4479nA27h4ftqv3WrZ727WEMu/btrhmh0rDZHoflFy/tw0O7Gv/18DC042J3&#10;t4Smo/+LQ/B+7/7efPnc3D72zXGzXUURmjkinOi0b7YHHDpt9a0Zm8VTvz3bar9d9d3QPYyfVt3+&#10;JijiLQItODuxzW+b5th6XWDq4TgZffj/bbv65fnXfrFd3y0B+6HZA/DN0745/NS3Q/fUA6T/WKZF&#10;5Qz1chxuQf/b8dc+/hrwurh/+We3Bl/zNHbeBq8P/d7ZAtotXr2pf0ymbl/HxQr/lDVnDCCssCS1&#10;VdxDcdPcEvPqaRj/1nZ+o+b5H8MYkFrTW7Oht9XrgV574H2KdO+Rvg9IH5vR8Tnp3Ovi5W6pa2u5&#10;Wi42eDV4l16Hfffc/t55utEpwYWyyiwXEFcpk8RNdKun++3qr+0fBVdV1wqG9Vy1qG2Uwm8puGVM&#10;h8WKSbx6FY9hUXBueFzksvKcME95yu6Qnya4Vjzy1Fwx4TYED1GVvPEcLm0F7Z2EEw+ME5R2mlZR&#10;fLz5DWmxYkJG6Y2CLvGw8hA6OuxnKmmAuTsLLmXUDPnqStVRPFVJ61lIAs6Mrci6uqplbsBrgJXy&#10;rXbd0HqzJyCj7hngXGqoGoyZ6MqdIlcGuEOjkDcHXFZKxuwTOEUGuKw1I+OUp5T2zAFXdYzSDwA+&#10;8UwWzQDnXFgf9rSYAS65VHMEzADntg7u/458GeBc6eBWJEEOOKRj9TXAc8BKA84CHMlJCPNRwGUt&#10;Jbsa4UxpVThoDjjThntlPhDhXBv90QifeCaLJsAlAqi+EuHS1kpThi4NWnpkAlzWxoaInA04zG5N&#10;kQUzwGXNtCzEyyK8AKyUbx7gylYhHCHs7AiXmte8xDSldIkNVRE/GeCIfnhYdLBS3tKeWYTLWgG+&#10;yENUJW/MJCmlJ55LgCtT135DWkwRLo2x+mMRLrVWtVd4PuBIc6aImBxwZZksxMsBzwErjTAPcK6F&#10;5B+OcF5JXvhgltIlsnbAlMyZAy6ttgReKS9BSeBNNRzuxTTJSFQlL/FMNVwqa05yZhbhXMiyBckA&#10;l0IFa7+TgrIIF8zWc+RLKV1yWOEq4Mj3soiYHPAcsNII1wFHDKJS+YYD1cJq8s4U4WTWYEhpKl2F&#10;nkYyZi1lPKKiJ1FLgZbItTMuXMSpKU6oUR0QUZ66yoKLqOgZ9lbIxiZILiV8h7oPoqJnpFasQm70&#10;ewtTndXZE2pmeWz54LPivb0Zojo0lZJzNmUt2pOe0SaZlgJN09tyX8OH9ryObOYZoobjku0TsqWP&#10;BOl46s5ErTHXuAQwRWuWu2FOdJ35YurOUONjIXonUvLczQHhqS0uSSiy3D3xkIQ8hbKohRSF+Fko&#10;ozEPrfo7AqZQdtGBRj90uJP1Lww0KZRhQF3Wtyx3C7QSJ4upnS4AK40wD3DN5TTbzAcc7XFZ7bLc&#10;LSrFMPhdBlxUOo4+79gzA1zUxtSn6aPUNbhkBjgsKlRRXXLAlRVhCCRvSIALg/l5TvuYAa4rO43c&#10;MwHXQvOyHqf5S2hWX23HwZcAK43wBuC8qnjIxYIZYWm+fBvwmkkbklViIoNpJjC0uCQpOHqLYvqS&#10;dRUnU3gFvsTEUCiFJTtRqiMWp15IF3AQIipZA4uuFPKnk0AzbUtjJsk1w+RfxDYiS6A9DYy0eOaM&#10;l07kxrqhueQkgwhUFloU2p5EhxYG7abnRBWd1QyKxON61cmMZBN6RtdXimEkcicooc3UfRAVPc+o&#10;kUoko2aKqC5pjwYFWd6fIOAPYYYn7bnB/BSbg8nBpsUr3leeMst7ucVU43MLEHvbe3nF6ohz4iKR&#10;BDeVCR9jBKtcvc/TlUYCC64l0AyEyjbLQwQ+fsETHQrn20pUaB1sdC4QIs3iM4XjTItnZxI+FDQc&#10;dSOelkU1UZX2jTxJiHMJhUUhjyjie1SoC5PJjNZV1C33mfIUOjv6WeKZ45XaOHC9D8/w+ESt85gi&#10;CUq5ojyVNqj07gSUBx1GflIQLaVF5veLjPFyfFf4uhi/3ulp8QyfS2cqgVgJrpY46UwFS+LjSDhT&#10;qZMz4cHahsU8K5ankL5BQ5V40NOgcp70ISU1MqebwdzxaF2ZOi2yV6nhCqhgb+4t0OniC45X7RJ1&#10;qQXhg0/GoeRog2m2DEtTK/RBfsPwbbmIWaB5ujgLH7QJhp1yEj6YazHnxTPPBBIoB9Gbcg1LzUob&#10;xsKTkxMBPYMpYqbV+Mg7p5eM5Ghq5clIyFQAIaWySTlXMwL47nsVHfOW+Cj6xIIm17ztXc4DTvsH&#10;QEJ6lucErSVDmxZEOisjplJxdkoZklThqcSkxXP4r36g1piB4kDpRnfSK1UYEjpGmcUHndQJvB0I&#10;cEz3QdL5LSpN+AycmaHcGd8hEbXB4dC6vLPzZalpx+sVVTM/UjiRKOSvqUo3OiB1bcg7AqFyUokD&#10;kFOlJonoGa0IS6OtcVJI3LW8N/NDaBNylRfE54ardsTOisVShg8riOFyHjuRBE0/jvcQYSSl9p+I&#10;6BnEvmA8IiCLQyx3I+YvjKZbMu+O6R5u6Hbb9fftbuem5qF/vP+66xfPjbta/W6+fyUXLMh2B0d8&#10;6Bwb6YND3F2iuz0Mt4r33foHbhL7LtzP4nYaL5uu/2O5eMHd7N1y+O9T07fLxe7vB1x+omVB3l+M&#10;/ofSlcCPPl+5z1eawwpb3S1XY79chB9fx3AF/HTst48bnMX9pd+h+wvuMB+27q7RSxjkij9wA+ut&#10;E2+L3RVv/ttTpRvyL/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gsAAFtDb250ZW50X1R5cGVzXS54bWxQSwECFAAKAAAAAACHTuJAAAAAAAAA&#10;AAAAAAAABgAAAAAAAAAAABAAAAAUCgAAX3JlbHMvUEsBAhQAFAAAAAgAh07iQIoUZjzRAAAAlAEA&#10;AAsAAAAAAAAAAQAgAAAAOAoAAF9yZWxzLy5yZWxzUEsBAhQACgAAAAAAh07iQAAAAAAAAAAAAAAA&#10;AAQAAAAAAAAAAAAQAAAAAAAAAGRycy9QSwECFAAUAAAACACHTuJAwRlOYdkAAAALAQAADwAAAAAA&#10;AAABACAAAAAiAAAAZHJzL2Rvd25yZXYueG1sUEsBAhQAFAAAAAgAh07iQDWqFFPACAAAaR8AAA4A&#10;AAAAAAAAAQAgAAAAKAEAAGRycy9lMm9Eb2MueG1sUEsFBgAAAAAGAAYAWQEAAFoMAAAAAA==&#10;" path="m124946,446410c178848,448289,219005,470305,221161,471379l215411,481402c213974,481402,146417,444172,70235,464219l67360,452764c87484,447394,106978,445783,124946,446410xm124946,413535c178848,415414,219005,437430,221161,438504l215411,448527c213974,448527,146417,411297,70235,431344l67360,419889c87484,414519,106978,412908,124946,413535xm124946,381226c178848,383309,219005,404543,221161,405618l215411,415652c213974,415652,146417,378382,70235,398450l67360,386983c87484,381965,106978,380532,124946,381226xm124946,349730c178848,351813,219005,373047,221161,374122l215411,384156c213974,384156,146417,346886,70235,366954l67360,355487c87484,350469,106978,349036,124946,349730xm124946,315231c178848,317312,219005,338522,221161,339596l215411,351051c213974,349619,146417,312389,70235,332436l67360,320981c87484,315969,106978,314537,124946,315231xm373313,290957l367575,300990,363272,366921,383354,376954,437863,333955,440732,326789,409174,338255,404871,311022,383354,325355,373313,290957xm124946,284361c178848,285905,219005,307384,221161,309532l215411,319555c213974,319555,146417,282325,70235,302372l67360,290917c87484,285547,106978,283847,124946,284361xm124946,251302c178848,252786,219005,274093,221161,275172l215411,286680c213974,285242,146417,249279,70235,269418l67360,257910c87484,252516,106978,250808,124946,251302xm117715,206299c80391,206299,50244,214900,38760,219201l38760,513084c57422,505916,80391,501615,106230,501615c169394,501615,233994,525986,252656,533154l252656,415601,244043,425636,244043,249306c209590,220635,166523,206299,117715,206299xm117715,191963c170830,191963,216767,207732,254092,240705c291416,207732,337353,191963,391904,191963l381855,206299c337353,207732,298593,223502,265576,249306l265576,425636,256963,415601,256963,533154c275625,524552,335918,500182,400517,500182c426357,500182,449326,504482,470859,513084l470859,325286,505312,255040,505312,557525,287109,557525c279931,564692,268447,568993,255527,568993c242607,568993,231123,564692,223945,557525l0,557525,0,253607c0,246439,10049,240705,24404,237837l24404,209166,28711,206299c30146,206299,67471,191963,117715,191963xm512454,24366l499544,50165,552618,77397,565528,50165,512454,24366xm503847,0l589914,41565,554053,114663,443601,341121,350362,415652,360403,298123,469421,73098,503847,0xe">
                <v:fill on="t" focussize="0,0"/>
                <v:stroke on="f"/>
                <v:imagedata o:title=""/>
                <o:lock v:ext="edit" aspectratio="f"/>
              </v:shape>
            </w:pict>
          </mc:Fallback>
        </mc:AlternateContent>
      </w:r>
      <w:r>
        <w:rPr>
          <w:rFonts w:ascii="Times New Roman" w:hAnsi="Times New Roman"/>
          <w:bCs/>
          <w:color w:val="000000"/>
          <w:szCs w:val="30"/>
        </w:rPr>
        <mc:AlternateContent>
          <mc:Choice Requires="wps">
            <w:drawing>
              <wp:anchor distT="0" distB="0" distL="114300" distR="114300" simplePos="0" relativeHeight="251681792" behindDoc="0" locked="0" layoutInCell="1" allowOverlap="1">
                <wp:simplePos x="0" y="0"/>
                <wp:positionH relativeFrom="column">
                  <wp:posOffset>1748155</wp:posOffset>
                </wp:positionH>
                <wp:positionV relativeFrom="paragraph">
                  <wp:posOffset>1405255</wp:posOffset>
                </wp:positionV>
                <wp:extent cx="1914525" cy="384810"/>
                <wp:effectExtent l="0" t="0" r="15875" b="9525"/>
                <wp:wrapNone/>
                <wp:docPr id="24" name="文本框 1088"/>
                <wp:cNvGraphicFramePr/>
                <a:graphic xmlns:a="http://schemas.openxmlformats.org/drawingml/2006/main">
                  <a:graphicData uri="http://schemas.microsoft.com/office/word/2010/wordprocessingShape">
                    <wps:wsp>
                      <wps:cNvSpPr/>
                      <wps:spPr bwMode="auto">
                        <a:xfrm>
                          <a:off x="0" y="0"/>
                          <a:ext cx="1914525" cy="384561"/>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灵活就业24.</w:t>
                            </w:r>
                            <w:r>
                              <w:rPr>
                                <w:rFonts w:ascii="微软雅黑" w:hAnsi="微软雅黑" w:eastAsia="微软雅黑"/>
                                <w:b/>
                                <w:bCs/>
                                <w:color w:val="FFFFFF"/>
                                <w:sz w:val="21"/>
                                <w:szCs w:val="21"/>
                              </w:rPr>
                              <w:t>90</w:t>
                            </w:r>
                            <w:r>
                              <w:rPr>
                                <w:rFonts w:hint="eastAsia" w:ascii="微软雅黑" w:hAnsi="微软雅黑" w:eastAsia="微软雅黑"/>
                                <w:b/>
                                <w:bCs/>
                                <w:color w:val="FFFFFF"/>
                                <w:sz w:val="21"/>
                                <w:szCs w:val="21"/>
                              </w:rPr>
                              <w:t>%</w:t>
                            </w:r>
                          </w:p>
                          <w:p>
                            <w:pPr>
                              <w:widowControl w:val="0"/>
                              <w:adjustRightInd w:val="0"/>
                              <w:snapToGrid w:val="0"/>
                              <w:spacing w:line="240" w:lineRule="atLeast"/>
                              <w:jc w:val="center"/>
                              <w:rPr>
                                <w:rFonts w:ascii="微软雅黑" w:hAnsi="微软雅黑" w:eastAsia="微软雅黑"/>
                                <w:b/>
                                <w:bCs/>
                                <w:color w:val="FFFFFF"/>
                                <w:sz w:val="21"/>
                                <w:szCs w:val="21"/>
                              </w:rPr>
                            </w:pPr>
                          </w:p>
                        </w:txbxContent>
                      </wps:txbx>
                      <wps:bodyPr rot="0" vert="horz" wrap="square" lIns="91440" tIns="45720" rIns="91440" bIns="45720" anchor="t" anchorCtr="0" upright="1">
                        <a:noAutofit/>
                      </wps:bodyPr>
                    </wps:wsp>
                  </a:graphicData>
                </a:graphic>
              </wp:anchor>
            </w:drawing>
          </mc:Choice>
          <mc:Fallback>
            <w:pict>
              <v:roundrect id="文本框 1088" o:spid="_x0000_s1026" o:spt="2" style="position:absolute;left:0pt;margin-left:137.65pt;margin-top:110.65pt;height:30.3pt;width:150.75pt;z-index:251681792;mso-width-relative:page;mso-height-relative:page;" fillcolor="#009DD9" filled="t" stroked="t" coordsize="21600,21600" arcsize="0.166666666666667" o:gfxdata="UEsDBAoAAAAAAIdO4kAAAAAAAAAAAAAAAAAEAAAAZHJzL1BLAwQUAAAACACHTuJAAmnlKdoAAAAL&#10;AQAADwAAAGRycy9kb3ducmV2LnhtbE2PMU/DMBCFdyT+g3VILIjaSdW0hDgdEJ1AqBQY2Nz4SKLG&#10;5yh2mvDvOSbY3t09vftesZ1dJ844hNaThmShQCBV3rZUa3h/291uQIRoyJrOE2r4xgDb8vKiMLn1&#10;E73i+RBrwSEUcqOhibHPpQxVg86Ehe+R+PblB2cij0Mt7WAmDnedTJXKpDMt8YfG9PjQYHU6jE7D&#10;rnLzUn7u1fR0eqbx8WPss5cbra+vEnUPIuIc/8zwi8/oUDLT0Y9kg+g0pOvVkq0s0oQFO1brjMsc&#10;ebNJ7kCWhfzfofwBUEsDBBQAAAAIAIdO4kBJhJYwRwIAAIMEAAAOAAAAZHJzL2Uyb0RvYy54bWyt&#10;VE2u0zAQ3iNxB8t7mqS0aRs1fUKtipD4eeLBAVzHaYz8h+02LQeAG7Biw55z9RyMnbzSPli8BVlE&#10;nszMN/N9M8785iAF2jPruFYlzgYpRkxRXXG1LfHHD+tnU4ycJ6oiQitW4iNz+Gbx9Mm8NQUb6kaL&#10;ilkEIMoVrSlx470pksTRhkniBtowBc5aW0k8mHabVJa0gC5FMkzTPGm1rYzVlDkHX1edE/eI9jGA&#10;uq45ZStNd5Ip36FaJogHSq7hxuFF7LauGfXv6toxj0SJgamPbygC5014J4s5KbaWmIbTvgXymBYe&#10;cJKEKyh6hloRT9DO8r+gJKdWO137AdUy6YhERYBFlj7Q5q4hhkUuILUzZ9Hd/4Olb/e3FvGqxMMR&#10;RopImPjp+7fTj1+nn19Rlk6nQaLWuAIi78yt7S0HR7Rp3+gKEsjO68j+UFsZVABe6BBFPp5FZgeP&#10;KHzMZtloPBxjRMH3fDoa51kokZDiPttY518yLVE4lNjqnarewyRjCbJ/7XxUuurbJdUnjGopYG57&#10;IlCW5/mkR+yDAfseM2Q6LXi15kJEw243S2ERpEKr6Wy1mvXJV2FCoRZ6H07SNLZx5XRXGOt8vcz/&#10;hSG5h5sjuCzxNA1PHyQU0A8SB1E7sf1hc+iV3ujqCFpb3e0u3Fw4NNp+waiFvS2x+7wjlmEkXilY&#10;DFB3FBY9GqPxZAiGvfRsLj1EUYAqsceoOy59dzl2xvJtA5WySFfpFzDjmvswqdBq11VvwG7GAfb3&#10;KCz/pR2j/vw7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mnlKdoAAAALAQAADwAAAAAAAAAB&#10;ACAAAAAiAAAAZHJzL2Rvd25yZXYueG1sUEsBAhQAFAAAAAgAh07iQEmEljBHAgAAgwQAAA4AAAAA&#10;AAAAAQAgAAAAKQEAAGRycy9lMm9Eb2MueG1sUEsFBgAAAAAGAAYAWQEAAOIFAAAAAA==&#10;">
                <v:fill on="t" focussize="0,0"/>
                <v:stroke weight="1pt" color="#0F6FC6" miterlimit="8" joinstyle="miter"/>
                <v:imagedata o:title=""/>
                <o:lock v:ext="edit" aspectratio="f"/>
                <v:textbo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灵活就业24.</w:t>
                      </w:r>
                      <w:r>
                        <w:rPr>
                          <w:rFonts w:ascii="微软雅黑" w:hAnsi="微软雅黑" w:eastAsia="微软雅黑"/>
                          <w:b/>
                          <w:bCs/>
                          <w:color w:val="FFFFFF"/>
                          <w:sz w:val="21"/>
                          <w:szCs w:val="21"/>
                        </w:rPr>
                        <w:t>90</w:t>
                      </w:r>
                      <w:r>
                        <w:rPr>
                          <w:rFonts w:hint="eastAsia" w:ascii="微软雅黑" w:hAnsi="微软雅黑" w:eastAsia="微软雅黑"/>
                          <w:b/>
                          <w:bCs/>
                          <w:color w:val="FFFFFF"/>
                          <w:sz w:val="21"/>
                          <w:szCs w:val="21"/>
                        </w:rPr>
                        <w:t>%</w:t>
                      </w:r>
                    </w:p>
                    <w:p>
                      <w:pPr>
                        <w:widowControl w:val="0"/>
                        <w:adjustRightInd w:val="0"/>
                        <w:snapToGrid w:val="0"/>
                        <w:spacing w:line="240" w:lineRule="atLeast"/>
                        <w:jc w:val="center"/>
                        <w:rPr>
                          <w:rFonts w:ascii="微软雅黑" w:hAnsi="微软雅黑" w:eastAsia="微软雅黑"/>
                          <w:b/>
                          <w:bCs/>
                          <w:color w:val="FFFFFF"/>
                          <w:sz w:val="21"/>
                          <w:szCs w:val="21"/>
                        </w:rPr>
                      </w:pPr>
                    </w:p>
                  </w:txbxContent>
                </v:textbox>
              </v:roundrect>
            </w:pict>
          </mc:Fallback>
        </mc:AlternateContent>
      </w:r>
      <w:r>
        <w:rPr>
          <w:rFonts w:ascii="Times New Roman" w:hAnsi="Times New Roman"/>
          <w:bCs/>
          <w:color w:val="000000"/>
          <w:szCs w:val="30"/>
        </w:rPr>
        <mc:AlternateContent>
          <mc:Choice Requires="wps">
            <w:drawing>
              <wp:anchor distT="0" distB="0" distL="114300" distR="114300" simplePos="0" relativeHeight="251689984" behindDoc="0" locked="0" layoutInCell="1" allowOverlap="1">
                <wp:simplePos x="0" y="0"/>
                <wp:positionH relativeFrom="column">
                  <wp:posOffset>1266825</wp:posOffset>
                </wp:positionH>
                <wp:positionV relativeFrom="paragraph">
                  <wp:posOffset>1845945</wp:posOffset>
                </wp:positionV>
                <wp:extent cx="466725" cy="5143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466725" cy="514350"/>
                        </a:xfrm>
                        <a:prstGeom prst="rect">
                          <a:avLst/>
                        </a:prstGeom>
                        <a:noFill/>
                        <a:ln w="6350">
                          <a:noFill/>
                        </a:ln>
                      </wps:spPr>
                      <wps:txbx>
                        <w:txbxContent>
                          <w:p>
                            <w:r>
                              <w:drawing>
                                <wp:inline distT="0" distB="0" distL="0" distR="0">
                                  <wp:extent cx="323215" cy="35179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5713" cy="355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75pt;margin-top:145.35pt;height:40.5pt;width:36.75pt;z-index:251689984;mso-width-relative:page;mso-height-relative:page;" filled="f" stroked="f" coordsize="21600,21600" o:gfxdata="UEsDBAoAAAAAAIdO4kAAAAAAAAAAAAAAAAAEAAAAZHJzL1BLAwQUAAAACACHTuJAeucndtwAAAAL&#10;AQAADwAAAGRycy9kb3ducmV2LnhtbE2Py07DMBBF90j8gzVI7KidVG2aEKdCkSokRBct3bBzYjeJ&#10;sMchdh/w9QwrWF7N0Z1zy/XVWXY2Uxg8SkhmApjB1usBOwmHt83DCliICrWyHo2ELxNgXd3elKrQ&#10;/oI7c97HjlEJhkJJ6GMcC85D2xunwsyPBul29JNTkeLUcT2pC5U7y1MhltypAelDr0ZT96b92J+c&#10;hJd6s1W7JnWrb1s/vx6fxs/D+0LK+7tEPAKL5hr/YPjVJ3WoyKnxJ9SBWcp5viBUQpqLDBgRaTan&#10;dY2EeZZkwKuS/99Q/QBQSwMEFAAAAAgAh07iQN4P4ZE5AgAAZQQAAA4AAABkcnMvZTJvRG9jLnht&#10;bK1UzY4TMQy+I/EOUe502tIfqDpdla2KkCp2pYI4p5lMJ1IShyTtTHkAeANOXLjzXH0OnEzbLQuH&#10;PXDJOLZj+/tsz/Sm0YrshfMSTE57nS4lwnAopNnm9OOH5YtXlPjATMEUGJHTg/D0Zvb82bS2E9GH&#10;ClQhHMEgxk9qm9MqBDvJMs8roZnvgBUGjSU4zQJe3TYrHKsxulZZv9sdZTW4wjrgwnvULlojPUV0&#10;TwkIZSm5WADfaWFCG9UJxQJC8pW0ns5StWUpeLgrSy8CUTlFpCGdmATlTTyz2ZRNto7ZSvJTCewp&#10;JTzCpJk0mPQSasECIzsn/wqlJXfgoQwdDjprgSRGEEWv+4ibdcWsSFiQam8vpPv/F5a/3987Iouc&#10;jikxTGPDj9+/HX/8Ov78SsaRntr6CXqtLfqF5g00ODRnvUdlRN2UTscv4iFoR3IPF3JFEwhH5WA0&#10;GveHlHA0DXuDl8NEfvbw2Dof3grQJAo5ddi7RCnbr3zAQtD17BJzGVhKpVL/lCF1Tkcx5B8WfKEM&#10;PowQ2lKjFJpNc8K1geKAsBy0c+EtX0pMvmI+3DOHg4BIcFXCHR6lAkwCJ4mSCtyXf+mjP/YHrZTU&#10;OFg59Z93zAlK1DuDnXvdGwziJKbLYDju48VdWzbXFrPTt4Cz28OltDyJ0T+os1g60J9wo+YxK5qY&#10;4Zg7p+Es3oZ23HEjuZjPkxPOnmVhZdaWx9AtafNdgFImpiNNLTcn9nD6UgNOmxLH+/qevB7+D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cndtwAAAALAQAADwAAAAAAAAABACAAAAAiAAAAZHJz&#10;L2Rvd25yZXYueG1sUEsBAhQAFAAAAAgAh07iQN4P4ZE5AgAAZQQAAA4AAAAAAAAAAQAgAAAAKwEA&#10;AGRycy9lMm9Eb2MueG1sUEsFBgAAAAAGAAYAWQEAANYFAAAAAA==&#10;">
                <v:fill on="f" focussize="0,0"/>
                <v:stroke on="f" weight="0.5pt"/>
                <v:imagedata o:title=""/>
                <o:lock v:ext="edit" aspectratio="f"/>
                <v:textbox>
                  <w:txbxContent>
                    <w:p>
                      <w:r>
                        <w:drawing>
                          <wp:inline distT="0" distB="0" distL="0" distR="0">
                            <wp:extent cx="323215" cy="35179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5713" cy="355039"/>
                                    </a:xfrm>
                                    <a:prstGeom prst="rect">
                                      <a:avLst/>
                                    </a:prstGeom>
                                    <a:noFill/>
                                    <a:ln>
                                      <a:noFill/>
                                    </a:ln>
                                  </pic:spPr>
                                </pic:pic>
                              </a:graphicData>
                            </a:graphic>
                          </wp:inline>
                        </w:drawing>
                      </w:r>
                    </w:p>
                  </w:txbxContent>
                </v:textbox>
              </v:shape>
            </w:pict>
          </mc:Fallback>
        </mc:AlternateContent>
      </w:r>
      <w:r>
        <w:rPr>
          <w:rFonts w:ascii="Times New Roman" w:hAnsi="Times New Roman"/>
          <w:bCs/>
          <w:color w:val="000000"/>
          <w:szCs w:val="30"/>
        </w:rPr>
        <mc:AlternateContent>
          <mc:Choice Requires="wps">
            <w:drawing>
              <wp:anchor distT="0" distB="0" distL="114300" distR="114300" simplePos="0" relativeHeight="251682816" behindDoc="0" locked="0" layoutInCell="1" allowOverlap="1">
                <wp:simplePos x="0" y="0"/>
                <wp:positionH relativeFrom="column">
                  <wp:posOffset>1765300</wp:posOffset>
                </wp:positionH>
                <wp:positionV relativeFrom="paragraph">
                  <wp:posOffset>1958975</wp:posOffset>
                </wp:positionV>
                <wp:extent cx="1914525" cy="375920"/>
                <wp:effectExtent l="0" t="0" r="15875" b="17780"/>
                <wp:wrapNone/>
                <wp:docPr id="30" name="文本框 1090"/>
                <wp:cNvGraphicFramePr/>
                <a:graphic xmlns:a="http://schemas.openxmlformats.org/drawingml/2006/main">
                  <a:graphicData uri="http://schemas.microsoft.com/office/word/2010/wordprocessingShape">
                    <wps:wsp>
                      <wps:cNvSpPr/>
                      <wps:spPr bwMode="auto">
                        <a:xfrm>
                          <a:off x="0" y="0"/>
                          <a:ext cx="1914525" cy="376015"/>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暂不就业1.79%</w:t>
                            </w:r>
                          </w:p>
                          <w:p>
                            <w:pPr>
                              <w:widowControl w:val="0"/>
                              <w:adjustRightInd w:val="0"/>
                              <w:snapToGrid w:val="0"/>
                              <w:spacing w:line="240" w:lineRule="atLeast"/>
                              <w:jc w:val="center"/>
                              <w:rPr>
                                <w:rFonts w:ascii="微软雅黑" w:hAnsi="微软雅黑" w:eastAsia="微软雅黑"/>
                                <w:b/>
                                <w:bCs/>
                                <w:color w:val="FFFFFF"/>
                                <w:sz w:val="21"/>
                                <w:szCs w:val="21"/>
                              </w:rPr>
                            </w:pPr>
                          </w:p>
                        </w:txbxContent>
                      </wps:txbx>
                      <wps:bodyPr rot="0" vert="horz" wrap="square" lIns="91440" tIns="45720" rIns="91440" bIns="45720" anchor="t" anchorCtr="0" upright="1">
                        <a:noAutofit/>
                      </wps:bodyPr>
                    </wps:wsp>
                  </a:graphicData>
                </a:graphic>
              </wp:anchor>
            </w:drawing>
          </mc:Choice>
          <mc:Fallback>
            <w:pict>
              <v:roundrect id="文本框 1090" o:spid="_x0000_s1026" o:spt="2" style="position:absolute;left:0pt;margin-left:139pt;margin-top:154.25pt;height:29.6pt;width:150.75pt;z-index:251682816;mso-width-relative:page;mso-height-relative:page;" fillcolor="#009DD9" filled="t" stroked="t" coordsize="21600,21600" arcsize="0.166666666666667" o:gfxdata="UEsDBAoAAAAAAIdO4kAAAAAAAAAAAAAAAAAEAAAAZHJzL1BLAwQUAAAACACHTuJAoYDKfdsAAAAL&#10;AQAADwAAAGRycy9kb3ducmV2LnhtbE2PMU/DMBCFdyT+g3VILIjabdUkhDgdEJ1AqBQY2Nz4SKLG&#10;5yh2mvDvOSbY7u49vftesZ1dJ844hNaThuVCgUCqvG2p1vD+trvNQIRoyJrOE2r4xgDb8vKiMLn1&#10;E73i+RBrwSEUcqOhibHPpQxVg86Ehe+RWPvygzOR16GWdjATh7tOrpRKpDMt8YfG9PjQYHU6jE7D&#10;rnLzWn7u1fR0eqbx8WPsk5cbra+vluoeRMQ5/pnhF5/RoWSmox/JBtFpWKUZd4ka1irbgGDHJr3j&#10;4ciXJE1BloX836H8AVBLAwQUAAAACACHTuJAwVJDTkYCAACDBAAADgAAAGRycy9lMm9Eb2MueG1s&#10;rVTNjtMwEL4j8Q6W7zRJt023UdMValWExM+KhQdwHKcx8h+203R5APYNOHHhznP1OZg4aWkXDnsg&#10;h2gmM/N5vm/GWdzspUA7Zh3XKsfJKMaIKapLrrY5/vRx8+IaI+eJKonQiuX4njl8s3z+bNGajI11&#10;rUXJLAIQ5bLW5Lj23mRR5GjNJHEjbZiCYKWtJB5cu41KS1pAlyIax3EatdqWxmrKnIOv6z6IB0T7&#10;FEBdVZyytaaNZMr3qJYJ4oGSq7lxeBm6rSpG/fuqcswjkWNg6sMbDgG76N7RckGyrSWm5nRogTyl&#10;hUecJOEKDj1BrYknqLH8LyjJqdVOV35EtYx6IkERYJHEj7S5q4lhgQtI7cxJdPf/YOm73a1FvMzx&#10;FUiiiISJH74/HH78Ovz8hpJ4HiRqjcsg887cWhCs8xyYqGjf6hIKSON1YL+vrOxUAF5oH0S+P4nM&#10;9h5R+JjMk8l0PMWIQuxqlsbJtJtCRLJjtbHOv2Jaos7IsdWNKj/AJMMRZPfG+aB0ObRLys8YVVLA&#10;3HZEoCRN09mAOCQD9hGzq3Ra8HLDhQiO3RYrYRGUQqvxfL2eD8UXaUKhFnofz+I4tHERdBcYm3Sz&#10;Sv+FIbmHmyO4zPF13D1DklBA/yhqL6/fF/tB6UKX96C11f3uws0Fo9b2K0Yt7G2O3ZeGWIaReK1g&#10;MUDdSbfowZlMZ2Nw7HmkOI8QRQEqxx6j3lz5/nI0xvJtDSclga7SL2HGFffdpLpW+64GB3YzDHC4&#10;R93yn/sh68+/Y/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YDKfdsAAAALAQAADwAAAAAAAAAB&#10;ACAAAAAiAAAAZHJzL2Rvd25yZXYueG1sUEsBAhQAFAAAAAgAh07iQMFSQ05GAgAAgwQAAA4AAAAA&#10;AAAAAQAgAAAAKgEAAGRycy9lMm9Eb2MueG1sUEsFBgAAAAAGAAYAWQEAAOIFAAAAAA==&#10;">
                <v:fill on="t" focussize="0,0"/>
                <v:stroke weight="1pt" color="#0F6FC6" miterlimit="8" joinstyle="miter"/>
                <v:imagedata o:title=""/>
                <o:lock v:ext="edit" aspectratio="f"/>
                <v:textbo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暂不就业1.79%</w:t>
                      </w:r>
                    </w:p>
                    <w:p>
                      <w:pPr>
                        <w:widowControl w:val="0"/>
                        <w:adjustRightInd w:val="0"/>
                        <w:snapToGrid w:val="0"/>
                        <w:spacing w:line="240" w:lineRule="atLeast"/>
                        <w:jc w:val="center"/>
                        <w:rPr>
                          <w:rFonts w:ascii="微软雅黑" w:hAnsi="微软雅黑" w:eastAsia="微软雅黑"/>
                          <w:b/>
                          <w:bCs/>
                          <w:color w:val="FFFFFF"/>
                          <w:sz w:val="21"/>
                          <w:szCs w:val="21"/>
                        </w:rPr>
                      </w:pPr>
                    </w:p>
                  </w:txbxContent>
                </v:textbox>
              </v:roundrect>
            </w:pict>
          </mc:Fallback>
        </mc:AlternateContent>
      </w:r>
      <w:r>
        <w:rPr>
          <w:rFonts w:ascii="Times New Roman" w:hAnsi="Times New Roman"/>
          <w:bCs/>
          <w:color w:val="000000"/>
          <w:szCs w:val="30"/>
        </w:rPr>
        <mc:AlternateContent>
          <mc:Choice Requires="wps">
            <w:drawing>
              <wp:anchor distT="0" distB="0" distL="114300" distR="114300" simplePos="0" relativeHeight="251693056" behindDoc="0" locked="0" layoutInCell="1" allowOverlap="1">
                <wp:simplePos x="0" y="0"/>
                <wp:positionH relativeFrom="column">
                  <wp:posOffset>1285875</wp:posOffset>
                </wp:positionH>
                <wp:positionV relativeFrom="paragraph">
                  <wp:posOffset>2486025</wp:posOffset>
                </wp:positionV>
                <wp:extent cx="466725" cy="5143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66725" cy="514350"/>
                        </a:xfrm>
                        <a:prstGeom prst="rect">
                          <a:avLst/>
                        </a:prstGeom>
                        <a:no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25pt;margin-top:195.75pt;height:40.5pt;width:36.75pt;z-index:251693056;mso-width-relative:page;mso-height-relative:page;" filled="f" stroked="f" coordsize="21600,21600" o:gfxdata="UEsDBAoAAAAAAIdO4kAAAAAAAAAAAAAAAAAEAAAAZHJzL1BLAwQUAAAACACHTuJAIt+gA9sAAAAL&#10;AQAADwAAAGRycy9kb3ducmV2LnhtbE2PS0/DMBCE70j8B2uRuFE7hj5I41QoUoWE4NDSCzcndpOo&#10;9jrE7gN+PcsJbjuaT7MzxeriHTvZMfYBFWQTAcxiE0yPrYLd+/puASwmjUa7gFbBl42wKq+vCp2b&#10;cMaNPW1TyygEY64VdCkNOeex6azXcRIGi+Ttw+h1Ijm23Iz6TOHecSnEjHvdI33o9GCrzjaH7dEr&#10;eKnWb3pTS7/4dtXz6/5p+Nx9TJW6vcnEEliyl/QHw299qg4ldarDEU1kToEUckqogvvHjA4i5HxG&#10;62oFD3OyeFnw/xvKH1BLAwQUAAAACACHTuJAaWLMGTkCAABlBAAADgAAAGRycy9lMm9Eb2MueG1s&#10;rVTBjhMxDL0j8Q9R7nTa0nah6nRVtipCWrErFcQ5zWQ6kZI4JGlnygfAH3Diwp3v6nfgZKbdsnDY&#10;A5eMYzu237M9s+tGK7IXzkswOR30+pQIw6GQZpvTjx9WL15R4gMzBVNgRE4PwtPr+fNns9pOxRAq&#10;UIVwBIMYP61tTqsQ7DTLPK+EZr4HVhg0luA0C3h126xwrMboWmXDfn+S1eAK64AL71G7bI20i+ie&#10;EhDKUnKxBL7TwoQ2qhOKBYTkK2k9nadqy1LwcFeWXgSicopIQzoxCcqbeGbzGZtuHbOV5F0J7Ckl&#10;PMKkmTSY9BxqyQIjOyf/CqUld+ChDD0OOmuBJEYQxaD/iJt1xaxIWJBqb8+k+/8Xlr/f3zsii5xO&#10;KDFMY8OP378df/w6/vxKJpGe2vopeq0t+oXmDTQ4NCe9R2VE3ZROxy/iIWhHcg9nckUTCEflaDK5&#10;Go4p4WgaD0Yvx4n87OGxdT68FaBJFHLqsHeJUra/9QELQdeTS8xlYCWVSv1ThtQIIIb8w4IvlMGH&#10;EUJbapRCs2k6XBsoDgjLQTsX3vKVxOS3zId75nAQEAmuSrjDo1SASaCTKKnAffmXPvpjf9BKSY2D&#10;lVP/ececoES9M9i514PRKE5iuozGV0O8uEvL5tJidvoGcHYHuJSWJzH6B3USSwf6E27UImZFEzMc&#10;c+c0nMSb0I47biQXi0VywtmzLNyateUxdEvaYheglInpSFPLTcceTl9qQLcpcbwv78nr4e8w/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36AD2wAAAAsBAAAPAAAAAAAAAAEAIAAAACIAAABkcnMv&#10;ZG93bnJldi54bWxQSwECFAAUAAAACACHTuJAaWLMGTkCAABlBAAADgAAAAAAAAABACAAAAAqAQAA&#10;ZHJzL2Uyb0RvYy54bWxQSwUGAAAAAAYABgBZAQAA1QUAAAAA&#10;">
                <v:fill on="f" focussize="0,0"/>
                <v:stroke on="f" weight="0.5pt"/>
                <v:imagedata o:title=""/>
                <o:lock v:ext="edit" aspectratio="f"/>
                <v:textbox>
                  <w:txbxContent>
                    <w:p/>
                  </w:txbxContent>
                </v:textbox>
              </v:shape>
            </w:pict>
          </mc:Fallback>
        </mc:AlternateContent>
      </w:r>
      <w:r>
        <w:rPr>
          <w:rFonts w:ascii="Times New Roman" w:hAnsi="Times New Roman"/>
          <w:bCs/>
          <w:color w:val="000000"/>
          <w:szCs w:val="30"/>
        </w:rPr>
        <mc:AlternateContent>
          <mc:Choice Requires="wps">
            <w:drawing>
              <wp:anchor distT="0" distB="0" distL="114300" distR="114300" simplePos="0" relativeHeight="251694080" behindDoc="0" locked="0" layoutInCell="1" allowOverlap="1">
                <wp:simplePos x="0" y="0"/>
                <wp:positionH relativeFrom="column">
                  <wp:posOffset>1332865</wp:posOffset>
                </wp:positionH>
                <wp:positionV relativeFrom="paragraph">
                  <wp:posOffset>2581275</wp:posOffset>
                </wp:positionV>
                <wp:extent cx="304800" cy="313055"/>
                <wp:effectExtent l="0" t="0" r="0" b="4445"/>
                <wp:wrapNone/>
                <wp:docPr id="5" name="human-resources_90527"/>
                <wp:cNvGraphicFramePr/>
                <a:graphic xmlns:a="http://schemas.openxmlformats.org/drawingml/2006/main">
                  <a:graphicData uri="http://schemas.microsoft.com/office/word/2010/wordprocessingShape">
                    <wps:wsp>
                      <wps:cNvSpPr/>
                      <wps:spPr bwMode="auto">
                        <a:xfrm>
                          <a:off x="0" y="0"/>
                          <a:ext cx="304800" cy="313055"/>
                        </a:xfrm>
                        <a:custGeom>
                          <a:avLst/>
                          <a:gdLst>
                            <a:gd name="T0" fmla="*/ 152400 w 4494"/>
                            <a:gd name="T1" fmla="*/ 0 h 4494"/>
                            <a:gd name="T2" fmla="*/ 0 w 4494"/>
                            <a:gd name="T3" fmla="*/ 156528 h 4494"/>
                            <a:gd name="T4" fmla="*/ 152400 w 4494"/>
                            <a:gd name="T5" fmla="*/ 313055 h 4494"/>
                            <a:gd name="T6" fmla="*/ 304800 w 4494"/>
                            <a:gd name="T7" fmla="*/ 156528 h 4494"/>
                            <a:gd name="T8" fmla="*/ 152400 w 4494"/>
                            <a:gd name="T9" fmla="*/ 0 h 4494"/>
                            <a:gd name="T10" fmla="*/ 186854 w 4494"/>
                            <a:gd name="T11" fmla="*/ 126295 h 4494"/>
                            <a:gd name="T12" fmla="*/ 201572 w 4494"/>
                            <a:gd name="T13" fmla="*/ 141411 h 4494"/>
                            <a:gd name="T14" fmla="*/ 186854 w 4494"/>
                            <a:gd name="T15" fmla="*/ 156528 h 4494"/>
                            <a:gd name="T16" fmla="*/ 172137 w 4494"/>
                            <a:gd name="T17" fmla="*/ 141411 h 4494"/>
                            <a:gd name="T18" fmla="*/ 186854 w 4494"/>
                            <a:gd name="T19" fmla="*/ 126295 h 4494"/>
                            <a:gd name="T20" fmla="*/ 117946 w 4494"/>
                            <a:gd name="T21" fmla="*/ 126295 h 4494"/>
                            <a:gd name="T22" fmla="*/ 132663 w 4494"/>
                            <a:gd name="T23" fmla="*/ 141411 h 4494"/>
                            <a:gd name="T24" fmla="*/ 117946 w 4494"/>
                            <a:gd name="T25" fmla="*/ 156528 h 4494"/>
                            <a:gd name="T26" fmla="*/ 103228 w 4494"/>
                            <a:gd name="T27" fmla="*/ 141411 h 4494"/>
                            <a:gd name="T28" fmla="*/ 117946 w 4494"/>
                            <a:gd name="T29" fmla="*/ 126295 h 4494"/>
                            <a:gd name="T30" fmla="*/ 227210 w 4494"/>
                            <a:gd name="T31" fmla="*/ 223123 h 4494"/>
                            <a:gd name="T32" fmla="*/ 211474 w 4494"/>
                            <a:gd name="T33" fmla="*/ 224098 h 4494"/>
                            <a:gd name="T34" fmla="*/ 155316 w 4494"/>
                            <a:gd name="T35" fmla="*/ 202295 h 4494"/>
                            <a:gd name="T36" fmla="*/ 94072 w 4494"/>
                            <a:gd name="T37" fmla="*/ 229114 h 4494"/>
                            <a:gd name="T38" fmla="*/ 86001 w 4494"/>
                            <a:gd name="T39" fmla="*/ 232667 h 4494"/>
                            <a:gd name="T40" fmla="*/ 78269 w 4494"/>
                            <a:gd name="T41" fmla="*/ 229462 h 4494"/>
                            <a:gd name="T42" fmla="*/ 77930 w 4494"/>
                            <a:gd name="T43" fmla="*/ 213301 h 4494"/>
                            <a:gd name="T44" fmla="*/ 155316 w 4494"/>
                            <a:gd name="T45" fmla="*/ 179376 h 4494"/>
                            <a:gd name="T46" fmla="*/ 226192 w 4494"/>
                            <a:gd name="T47" fmla="*/ 206892 h 4494"/>
                            <a:gd name="T48" fmla="*/ 227210 w 4494"/>
                            <a:gd name="T49" fmla="*/ 223123 h 449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494" h="4494">
                              <a:moveTo>
                                <a:pt x="2247" y="0"/>
                              </a:moveTo>
                              <a:cubicBezTo>
                                <a:pt x="1008" y="0"/>
                                <a:pt x="0" y="1008"/>
                                <a:pt x="0" y="2247"/>
                              </a:cubicBezTo>
                              <a:cubicBezTo>
                                <a:pt x="0" y="3486"/>
                                <a:pt x="1008" y="4494"/>
                                <a:pt x="2247" y="4494"/>
                              </a:cubicBezTo>
                              <a:cubicBezTo>
                                <a:pt x="3486" y="4494"/>
                                <a:pt x="4494" y="3486"/>
                                <a:pt x="4494" y="2247"/>
                              </a:cubicBezTo>
                              <a:cubicBezTo>
                                <a:pt x="4494" y="1008"/>
                                <a:pt x="3486" y="0"/>
                                <a:pt x="2247" y="0"/>
                              </a:cubicBezTo>
                              <a:close/>
                              <a:moveTo>
                                <a:pt x="2755" y="1813"/>
                              </a:moveTo>
                              <a:cubicBezTo>
                                <a:pt x="2875" y="1813"/>
                                <a:pt x="2972" y="1911"/>
                                <a:pt x="2972" y="2030"/>
                              </a:cubicBezTo>
                              <a:cubicBezTo>
                                <a:pt x="2972" y="2150"/>
                                <a:pt x="2875" y="2247"/>
                                <a:pt x="2755" y="2247"/>
                              </a:cubicBezTo>
                              <a:cubicBezTo>
                                <a:pt x="2636" y="2247"/>
                                <a:pt x="2538" y="2150"/>
                                <a:pt x="2538" y="2030"/>
                              </a:cubicBezTo>
                              <a:cubicBezTo>
                                <a:pt x="2539" y="1911"/>
                                <a:pt x="2636" y="1813"/>
                                <a:pt x="2755" y="1813"/>
                              </a:cubicBezTo>
                              <a:close/>
                              <a:moveTo>
                                <a:pt x="1739" y="1813"/>
                              </a:moveTo>
                              <a:cubicBezTo>
                                <a:pt x="1859" y="1813"/>
                                <a:pt x="1956" y="1911"/>
                                <a:pt x="1956" y="2030"/>
                              </a:cubicBezTo>
                              <a:cubicBezTo>
                                <a:pt x="1956" y="2150"/>
                                <a:pt x="1859" y="2247"/>
                                <a:pt x="1739" y="2247"/>
                              </a:cubicBezTo>
                              <a:cubicBezTo>
                                <a:pt x="1619" y="2247"/>
                                <a:pt x="1522" y="2150"/>
                                <a:pt x="1522" y="2030"/>
                              </a:cubicBezTo>
                              <a:cubicBezTo>
                                <a:pt x="1522" y="1911"/>
                                <a:pt x="1619" y="1813"/>
                                <a:pt x="1739" y="1813"/>
                              </a:cubicBezTo>
                              <a:close/>
                              <a:moveTo>
                                <a:pt x="3350" y="3203"/>
                              </a:moveTo>
                              <a:cubicBezTo>
                                <a:pt x="3290" y="3271"/>
                                <a:pt x="3186" y="3277"/>
                                <a:pt x="3118" y="3217"/>
                              </a:cubicBezTo>
                              <a:cubicBezTo>
                                <a:pt x="2889" y="3015"/>
                                <a:pt x="2595" y="2904"/>
                                <a:pt x="2290" y="2904"/>
                              </a:cubicBezTo>
                              <a:cubicBezTo>
                                <a:pt x="1946" y="2904"/>
                                <a:pt x="1625" y="3041"/>
                                <a:pt x="1387" y="3289"/>
                              </a:cubicBezTo>
                              <a:cubicBezTo>
                                <a:pt x="1354" y="3323"/>
                                <a:pt x="1311" y="3340"/>
                                <a:pt x="1268" y="3340"/>
                              </a:cubicBezTo>
                              <a:cubicBezTo>
                                <a:pt x="1227" y="3340"/>
                                <a:pt x="1186" y="3324"/>
                                <a:pt x="1154" y="3294"/>
                              </a:cubicBezTo>
                              <a:cubicBezTo>
                                <a:pt x="1089" y="3231"/>
                                <a:pt x="1087" y="3127"/>
                                <a:pt x="1149" y="3062"/>
                              </a:cubicBezTo>
                              <a:cubicBezTo>
                                <a:pt x="1450" y="2748"/>
                                <a:pt x="1855" y="2575"/>
                                <a:pt x="2290" y="2575"/>
                              </a:cubicBezTo>
                              <a:cubicBezTo>
                                <a:pt x="2676" y="2575"/>
                                <a:pt x="3047" y="2715"/>
                                <a:pt x="3335" y="2970"/>
                              </a:cubicBezTo>
                              <a:cubicBezTo>
                                <a:pt x="3404" y="3031"/>
                                <a:pt x="3410" y="3135"/>
                                <a:pt x="3350" y="3203"/>
                              </a:cubicBezTo>
                              <a:close/>
                            </a:path>
                          </a:pathLst>
                        </a:custGeom>
                        <a:solidFill>
                          <a:srgbClr val="0F6FC6"/>
                        </a:solidFill>
                        <a:ln>
                          <a:noFill/>
                        </a:ln>
                      </wps:spPr>
                      <wps:bodyPr rot="0" vert="horz" wrap="square" lIns="91440" tIns="45720" rIns="91440" bIns="45720" anchor="ctr" anchorCtr="0" upright="1">
                        <a:noAutofit/>
                      </wps:bodyPr>
                    </wps:wsp>
                  </a:graphicData>
                </a:graphic>
              </wp:anchor>
            </w:drawing>
          </mc:Choice>
          <mc:Fallback>
            <w:pict>
              <v:shape id="human-resources_90527" o:spid="_x0000_s1026" o:spt="100" style="position:absolute;left:0pt;margin-left:104.95pt;margin-top:203.25pt;height:24.65pt;width:24pt;z-index:251694080;v-text-anchor:middle;mso-width-relative:page;mso-height-relative:page;" fillcolor="#0F6FC6" filled="t" stroked="f" coordsize="4494,4494" o:gfxdata="UEsDBAoAAAAAAIdO4kAAAAAAAAAAAAAAAAAEAAAAZHJzL1BLAwQUAAAACACHTuJAIZLxNNsAAAAL&#10;AQAADwAAAGRycy9kb3ducmV2LnhtbE2Py07DMBBF90j8gzVI7KjdgNs0xKmiikqVkKANfIAbD0lo&#10;bIfYffD3DCtYzp2jO2fy5cX27IRj6LxTMJ0IYOhqbzrXKHh/W9+lwELUzujeO1TwjQGWxfVVrjPj&#10;z26Hpyo2jEpcyLSCNsYh4zzULVodJn5AR7sPP1odaRwbbkZ9pnLb80SIGbe6c3Sh1QOuWqwP1dEq&#10;2GwwrNbly5fcPqef2/vy6bUqD0rd3kzFI7CIl/gHw68+qUNBTnt/dCawXkEiFgtCFTyImQRGRCLn&#10;lOwpkTIFXuT8/w/FD1BLAwQUAAAACACHTuJAzMyhm0YHAADIHgAADgAAAGRycy9lMm9Eb2MueG1s&#10;rVlbj6M2FH6v1P+AeKy0G2yDgdFmVu2upqrUy0o7fa4YQiaREkiBTGb76/v5Ruwkph6pLxHkXHy+&#10;89mHY/vDx9f9Lnpp+mHbtcuYvE/iqGnrbrVtn5fxn48P74o4GsaqXVW7rm2W8bdmiD/ef//dh9Ph&#10;rqHdptutmj6Ck3a4Ox2W8WYcD3eLxVBvmn01vO8OTQvhuuv31YjX/nmx6qsTvO93C5okfHHq+tWh&#10;7+pmGPDvZyWMtcc+xGG3Xm/r5nNXH/dNOyqvfbOrRkAaNtvDEN/LaNfrph7/WK+HZox2yxhIR/mL&#10;QfD8JH4X9x+qu+e+Omy2tQ6hCgnhAtO+2rYYdHL1uRqr6Nhvr1ztt3XfDd16fF93+4UCIjMCFCS5&#10;yM3XTXVoJBakejhMSR/+P7f17y9f+mi7WsZZHLXVHoRvjvuqfdc3Q3fsQdJfZZLRXCTqdBjuoP/1&#10;8KXXbwMeo6fTb90KdtVx7GQOXtf9XuQC6KJXmepvU6qb1zGq8SdL0iIBCTVEjLAky8QIi+rOGNfH&#10;Yfy56aSj6uXXYVRMrfAk87zS0T7CyXq/A2k/LCKS0TRJolOUpmWquZ0UiaWYRJubOtTRue2HWTok&#10;4xktPM5SR3EmMqR+gqCS4fHIbUWZQQ/W3FKcjRGLfRp6NnulpejLHnG4KHiRpZ74iE0GoZyWmQcy&#10;sSnBGsly6vPpEJOSlBCfT4eZ2ThtamYTSWxuSE4Jy31xOuTMxumwMxunTc9sPqnDEcnLlHvipMEc&#10;UZsjwijnzOczmCPqcDQbZzBH1OEoYRRL9/YaR8Gz1sUcR9ThaDbOYI6YzRGlmEy+msZsjihlhDLP&#10;nGc2R5SQNPetTWZzRFG2Sl+BYw5HWcaIby4xmyOaUP96ZzZHZZp4lzuzKYJDQPJBtykqeJIQD+vM&#10;ZoiKeZx7XKY2Q3lBeelxmboEYbVRn0uboDwvmY/z1OGHMAY8t79maTA/qc0PJjHLuc+nzQ+lnJS+&#10;epw6BCW8gKYnTpug2fmeOgzNzffMZiiJwDoaA445yi/7gsymaF7Tpmhe0+ZoXtPmaF7T5mhe0+Zo&#10;XtPmaF7T5mhe0+ZoVpMHc8SDOeLBHPFgjngwRzyYIx7MEQ/miAdzxIM5yoM5yoM5yoM5yoM5ymc5&#10;wsbi2Wwdqo3ZTdSvrd5O4CmqxAb4EXVD7C8O3SD2LmJ3gR3KI9G7E+gJqaVOHHUAE+rMq04ddcQs&#10;1M3e59o7c9QxZYS63IwB0bV66qhjNgj10htM5qiL7l3oozdXW7Fr/9w10GiJH27uGmi8xA+4cA00&#10;YuKHXLoGGjPxgkbNsfkV7bAAjWbXAxqlxzHQoKkXNCqQY6BBUy9oFCLHQINWm+5bPKMeOQYaNPWD&#10;dpkW/aUAje7RB9plWjSP0sAP2mVadIbSwA/aZVq0fdLAyzRKlg2aadDo2TwYULlsA9GyiRHQkfkM&#10;XKZTDRr9ls/AZVq0W3IEL2iUMyckDRqdkm8El+lUg0YbZBmoKaIrWY8jr8vDrl4edj0JG1S2ahQF&#10;0DxGp2UsT0uijX4Qkn330jx2UmcUdRDbAHyFAE6emGHAs0J9fNrWPzX/2OokSVSk+oDtIJ0oAqRM&#10;RWL9KwfQmByHt9wrRywtdC+n3E+Dng9/lGAK3ghEwv5zEOleQDZWSJ0MWGULgssAJsGbwExWl4mZ&#10;AnCSOIExTFwg2XVDI7N7ZkhnIccZm8BDiqlgn3VcL9qiyF0LkwFaii+4cIVdl55VapoYAU1QY0Lp&#10;nNxRgq+vNTWoCcAkdArAYDGCIEYp11XGWE3uMl1NrgKYBG/Ck4mN5K30mAAMBVMABo8RXOPx8kpy&#10;M1oor6TIdHzawoRBykxVpEteJ8GbeD1bXfA6BXBJxITFCK7z4KxbNU8JNqEy38ZqwpOJkykQcckr&#10;Tjq14C28TlZX6TEBGPqmAG5w46602ssrY2ILi+AZkq7X0vx6ZbQ0FujFrXXECCqlcpXLT42JjxGi&#10;6jSj5xbLybAbrakLhco3Th7kp864o1mpCgYC0cfv2sJEZgRhvOK0RNF34Y5wNFMST6K+5iYAwgr1&#10;mWIUIYbWH8Iy9eVmTHV1Z3finFpQwNA9WAnFCavOmxaE4cHRxm13Ez+MOnkjxERG1X1G2DiJ4QcH&#10;JE7YiUkPUc3lBJSIgxUBNEH3Gpy3VM9QmqMxsdNT6E8NzfAFsQQ4plMz1AiC8FCe63lw4Q6XSCqh&#10;NHcnIsPikXjwaQn/DoFLPQ8SN28s1XsjXM44eG6tUXfFmPUNoKLxkldcUwcm0Z+vuYZut109bHc7&#10;0XcN/fPTp10fvVTi5vKBP3ySzQ5MHLWd3I+2nTBTvIl/FuKqTlzOqUu7p271DRd1faeuP3H5i4dN&#10;1/8TRydcfS7j4e9j1TdxtPulxd1iSVLRLI/yJcWFC156W/JkS6q2hqtlXI9oM9XLp1HdsB4P/fZ5&#10;g7FUY912P+KKcL0VV3kyQhWXfsEFp8yOvowVN6j2u9Q6X0Df/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AhkvE02wAAAAsBAAAPAAAAAAAAAAEAIAAAACIAAABkcnMvZG93bnJldi54bWxQSwECFAAU&#10;AAAACACHTuJAzMyhm0YHAADIHgAADgAAAAAAAAABACAAAAAqAQAAZHJzL2Uyb0RvYy54bWxQSwUG&#10;AAAAAAYABgBZAQAA4goAAAAA&#10;" path="m2247,0c1008,0,0,1008,0,2247c0,3486,1008,4494,2247,4494c3486,4494,4494,3486,4494,2247c4494,1008,3486,0,2247,0xm2755,1813c2875,1813,2972,1911,2972,2030c2972,2150,2875,2247,2755,2247c2636,2247,2538,2150,2538,2030c2539,1911,2636,1813,2755,1813xm1739,1813c1859,1813,1956,1911,1956,2030c1956,2150,1859,2247,1739,2247c1619,2247,1522,2150,1522,2030c1522,1911,1619,1813,1739,1813xm3350,3203c3290,3271,3186,3277,3118,3217c2889,3015,2595,2904,2290,2904c1946,2904,1625,3041,1387,3289c1354,3323,1311,3340,1268,3340c1227,3340,1186,3324,1154,3294c1089,3231,1087,3127,1149,3062c1450,2748,1855,2575,2290,2575c2676,2575,3047,2715,3335,2970c3404,3031,3410,3135,3350,3203xe">
                <v:path o:connectlocs="10336341,0;0,10903843;10336341,21807617;20672683,10903843;10336341,0;12673141,8797792;13671371,9850783;12673141,10903843;11674979,9850783;12673141,8797792;7999541,8797792;8997704,9850783;7999541,10903843;7001311,9850783;7999541,8797792;15410237,15542895;14342962,15610814;10534115,14092002;6380317,15960232;5832911,16207736;5308498,15984474;5285506,14858688;10534115,12495450;15341193,14412232;15410237,15542895" o:connectangles="0,0,0,0,0,0,0,0,0,0,0,0,0,0,0,0,0,0,0,0,0,0,0,0,0"/>
                <v:fill on="t" focussize="0,0"/>
                <v:stroke on="f"/>
                <v:imagedata o:title=""/>
                <o:lock v:ext="edit" aspectratio="f"/>
              </v:shape>
            </w:pict>
          </mc:Fallback>
        </mc:AlternateContent>
      </w:r>
      <w:r>
        <w:rPr>
          <w:rFonts w:ascii="Times New Roman" w:hAnsi="Times New Roman"/>
          <w:bCs/>
          <w:color w:val="000000"/>
          <w:szCs w:val="30"/>
        </w:rPr>
        <mc:AlternateContent>
          <mc:Choice Requires="wps">
            <w:drawing>
              <wp:anchor distT="0" distB="0" distL="114300" distR="114300" simplePos="0" relativeHeight="251683840" behindDoc="0" locked="0" layoutInCell="1" allowOverlap="1">
                <wp:simplePos x="0" y="0"/>
                <wp:positionH relativeFrom="column">
                  <wp:posOffset>1765300</wp:posOffset>
                </wp:positionH>
                <wp:positionV relativeFrom="paragraph">
                  <wp:posOffset>2563495</wp:posOffset>
                </wp:positionV>
                <wp:extent cx="1914525" cy="345440"/>
                <wp:effectExtent l="0" t="0" r="15875" b="10160"/>
                <wp:wrapNone/>
                <wp:docPr id="17" name="文本框 49"/>
                <wp:cNvGraphicFramePr/>
                <a:graphic xmlns:a="http://schemas.openxmlformats.org/drawingml/2006/main">
                  <a:graphicData uri="http://schemas.microsoft.com/office/word/2010/wordprocessingShape">
                    <wps:wsp>
                      <wps:cNvSpPr/>
                      <wps:spPr bwMode="auto">
                        <a:xfrm>
                          <a:off x="0" y="0"/>
                          <a:ext cx="1914525" cy="345481"/>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待就业7.5</w:t>
                            </w:r>
                            <w:r>
                              <w:rPr>
                                <w:rFonts w:ascii="微软雅黑" w:hAnsi="微软雅黑" w:eastAsia="微软雅黑"/>
                                <w:b/>
                                <w:bCs/>
                                <w:color w:val="FFFFFF"/>
                                <w:sz w:val="21"/>
                                <w:szCs w:val="21"/>
                              </w:rPr>
                              <w:t>0</w:t>
                            </w:r>
                            <w:r>
                              <w:rPr>
                                <w:rFonts w:hint="eastAsia" w:ascii="微软雅黑" w:hAnsi="微软雅黑" w:eastAsia="微软雅黑"/>
                                <w:b/>
                                <w:bCs/>
                                <w:color w:val="FFFFFF"/>
                                <w:sz w:val="21"/>
                                <w:szCs w:val="21"/>
                              </w:rPr>
                              <w:t>%</w:t>
                            </w:r>
                          </w:p>
                          <w:p>
                            <w:pPr>
                              <w:widowControl w:val="0"/>
                              <w:adjustRightInd w:val="0"/>
                              <w:snapToGrid w:val="0"/>
                              <w:spacing w:line="240" w:lineRule="atLeast"/>
                              <w:jc w:val="center"/>
                              <w:rPr>
                                <w:rFonts w:ascii="微软雅黑" w:hAnsi="微软雅黑" w:eastAsia="微软雅黑"/>
                                <w:b/>
                                <w:bCs/>
                                <w:color w:val="FFFFFF"/>
                                <w:sz w:val="21"/>
                                <w:szCs w:val="21"/>
                              </w:rPr>
                            </w:pPr>
                          </w:p>
                        </w:txbxContent>
                      </wps:txbx>
                      <wps:bodyPr rot="0" vert="horz" wrap="square" lIns="91440" tIns="45720" rIns="91440" bIns="45720" anchor="t" anchorCtr="0" upright="1">
                        <a:noAutofit/>
                      </wps:bodyPr>
                    </wps:wsp>
                  </a:graphicData>
                </a:graphic>
              </wp:anchor>
            </w:drawing>
          </mc:Choice>
          <mc:Fallback>
            <w:pict>
              <v:roundrect id="文本框 49" o:spid="_x0000_s1026" o:spt="2" style="position:absolute;left:0pt;margin-left:139pt;margin-top:201.85pt;height:27.2pt;width:150.75pt;z-index:251683840;mso-width-relative:page;mso-height-relative:page;" fillcolor="#009DD9" filled="t" stroked="t" coordsize="21600,21600" arcsize="0.166666666666667" o:gfxdata="UEsDBAoAAAAAAIdO4kAAAAAAAAAAAAAAAAAEAAAAZHJzL1BLAwQUAAAACACHTuJA6WZrWNsAAAAL&#10;AQAADwAAAGRycy9kb3ducmV2LnhtbE2PQU+DQBCF7yb+h82YeDF2l1YKIksPxp40Rmt78LaFEUjZ&#10;WcIuBf+940mPb97Lm+/lm9l24oyDbx1piBYKBFLpqpZqDfuP7W0KwgdDlekcoYZv9LApLi9yk1Vu&#10;onc870ItuIR8ZjQ0IfSZlL5s0Bq/cD0Se19usCawHGpZDWbictvJpVJraU1L/KExPT42WJ52o9Ww&#10;Le28kp9vano+vdD4dBj79euN1tdXkXoAEXAOf2H4xWd0KJjp6EaqvOg0LJOUtwQNd2qVgOBEnNzH&#10;II58idMIZJHL/xuKH1BLAwQUAAAACACHTuJAUm4mKUYCAACBBAAADgAAAGRycy9lMm9Eb2MueG1s&#10;rVTNjtMwEL4j8Q6W7zRJSX/VdIVaFSHxs2LhAVzHaYz8h+00LQ/AvgEnLtx5rj4HYydb2uWyB3KI&#10;ZjLjb+b7ZpzFzUEKtGfWca0KnA1SjJiiuuRqV+DPnzYvphg5T1RJhFaswEfm8M3y+bNFa+ZsqGst&#10;SmYRgCg3b02Ba+/NPEkcrZkkbqANUxCstJXEg2t3SWlJC+hSJMM0HSettqWxmjLn4Ou6C+Ie0T4F&#10;UFcVp2ytaSOZ8h2qZYJ4oORqbhxexm6rilH/oaoc80gUGJj6+IYiYG/DO1kuyHxniak57VsgT2nh&#10;ESdJuIKiZ6g18QQ1lv8DJTm12unKD6iWSUckKgIssvSRNnc1MSxyAamdOYvu/h8sfb+/tYiXsAkT&#10;jBSRMPHTj/vTz9+nX99RPgsCtcbNIe/O3Nrec2CibftOl5BOGq8j90NlZdAAWKFDlPh4lpgdPKLw&#10;MZtl+Wg4wohC7GU+yqdZKJGQ+cNpY51/zbREwSiw1Y0qP8IcYwmyf+t81LnsmyXlF4wqKWBqeyJQ&#10;Nh6PJz1inwzYD5jhpNOClxsuRHTsbrsSFsFRaDWdrdeRMRy5ShMKtdD7cJKmsY2roLvC2Iw3q3Hf&#10;wFWa5B7ujeCywNM0PH2SUEA/SBxE7cT2h+2hV3qryyNobXW3uXBvwai1/YZRC1tbYPe1IZZhJN4o&#10;WAtQNw9rHp18NBmCYy8j28sIURSgCuwx6syV765GYyzf1VApi3SVfgUzrrgPkwqtdl31DmxmHGB/&#10;i8LqX/ox6++fY/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WZrWNsAAAALAQAADwAAAAAAAAAB&#10;ACAAAAAiAAAAZHJzL2Rvd25yZXYueG1sUEsBAhQAFAAAAAgAh07iQFJuJilGAgAAgQQAAA4AAAAA&#10;AAAAAQAgAAAAKgEAAGRycy9lMm9Eb2MueG1sUEsFBgAAAAAGAAYAWQEAAOIFAAAAAA==&#10;">
                <v:fill on="t" focussize="0,0"/>
                <v:stroke weight="1pt" color="#0F6FC6" miterlimit="8" joinstyle="miter"/>
                <v:imagedata o:title=""/>
                <o:lock v:ext="edit" aspectratio="f"/>
                <v:textbo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待就业7.5</w:t>
                      </w:r>
                      <w:r>
                        <w:rPr>
                          <w:rFonts w:ascii="微软雅黑" w:hAnsi="微软雅黑" w:eastAsia="微软雅黑"/>
                          <w:b/>
                          <w:bCs/>
                          <w:color w:val="FFFFFF"/>
                          <w:sz w:val="21"/>
                          <w:szCs w:val="21"/>
                        </w:rPr>
                        <w:t>0</w:t>
                      </w:r>
                      <w:r>
                        <w:rPr>
                          <w:rFonts w:hint="eastAsia" w:ascii="微软雅黑" w:hAnsi="微软雅黑" w:eastAsia="微软雅黑"/>
                          <w:b/>
                          <w:bCs/>
                          <w:color w:val="FFFFFF"/>
                          <w:sz w:val="21"/>
                          <w:szCs w:val="21"/>
                        </w:rPr>
                        <w:t>%</w:t>
                      </w:r>
                    </w:p>
                    <w:p>
                      <w:pPr>
                        <w:widowControl w:val="0"/>
                        <w:adjustRightInd w:val="0"/>
                        <w:snapToGrid w:val="0"/>
                        <w:spacing w:line="240" w:lineRule="atLeast"/>
                        <w:jc w:val="center"/>
                        <w:rPr>
                          <w:rFonts w:ascii="微软雅黑" w:hAnsi="微软雅黑" w:eastAsia="微软雅黑"/>
                          <w:b/>
                          <w:bCs/>
                          <w:color w:val="FFFFFF"/>
                          <w:sz w:val="21"/>
                          <w:szCs w:val="21"/>
                        </w:rPr>
                      </w:pPr>
                    </w:p>
                  </w:txbxContent>
                </v:textbox>
              </v:roundrect>
            </w:pict>
          </mc:Fallback>
        </mc:AlternateContent>
      </w:r>
      <w:r>
        <w:rPr>
          <w:rFonts w:ascii="Times New Roman" w:hAnsi="Times New Roman"/>
          <w:bCs/>
          <w:color w:val="000000"/>
          <w:szCs w:val="30"/>
        </w:rPr>
        <mc:AlternateContent>
          <mc:Choice Requires="wps">
            <w:drawing>
              <wp:anchor distT="0" distB="0" distL="114300" distR="114300" simplePos="0" relativeHeight="251679744" behindDoc="0" locked="0" layoutInCell="1" allowOverlap="1">
                <wp:simplePos x="0" y="0"/>
                <wp:positionH relativeFrom="column">
                  <wp:posOffset>1739900</wp:posOffset>
                </wp:positionH>
                <wp:positionV relativeFrom="paragraph">
                  <wp:posOffset>270510</wp:posOffset>
                </wp:positionV>
                <wp:extent cx="1914525" cy="383540"/>
                <wp:effectExtent l="0" t="0" r="15875" b="10160"/>
                <wp:wrapNone/>
                <wp:docPr id="16" name="文本框 639"/>
                <wp:cNvGraphicFramePr/>
                <a:graphic xmlns:a="http://schemas.openxmlformats.org/drawingml/2006/main">
                  <a:graphicData uri="http://schemas.microsoft.com/office/word/2010/wordprocessingShape">
                    <wps:wsp>
                      <wps:cNvSpPr/>
                      <wps:spPr bwMode="auto">
                        <a:xfrm>
                          <a:off x="0" y="0"/>
                          <a:ext cx="1914525" cy="383671"/>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协议和合同就业45.29%</w:t>
                            </w:r>
                          </w:p>
                          <w:p>
                            <w:pPr>
                              <w:widowControl w:val="0"/>
                              <w:adjustRightInd w:val="0"/>
                              <w:snapToGrid w:val="0"/>
                              <w:spacing w:line="240" w:lineRule="atLeast"/>
                              <w:jc w:val="center"/>
                              <w:rPr>
                                <w:rFonts w:ascii="微软雅黑" w:hAnsi="微软雅黑" w:eastAsia="微软雅黑"/>
                                <w:b/>
                                <w:bCs/>
                                <w:color w:val="FFFFFF"/>
                                <w:sz w:val="21"/>
                                <w:szCs w:val="21"/>
                              </w:rPr>
                            </w:pPr>
                          </w:p>
                        </w:txbxContent>
                      </wps:txbx>
                      <wps:bodyPr rot="0" vert="horz" wrap="square" lIns="91440" tIns="45720" rIns="91440" bIns="45720" anchor="t" anchorCtr="0" upright="1">
                        <a:noAutofit/>
                      </wps:bodyPr>
                    </wps:wsp>
                  </a:graphicData>
                </a:graphic>
              </wp:anchor>
            </w:drawing>
          </mc:Choice>
          <mc:Fallback>
            <w:pict>
              <v:roundrect id="文本框 639" o:spid="_x0000_s1026" o:spt="2" style="position:absolute;left:0pt;margin-left:137pt;margin-top:21.3pt;height:30.2pt;width:150.75pt;z-index:251679744;mso-width-relative:page;mso-height-relative:page;" fillcolor="#009DD9" filled="t" stroked="t" coordsize="21600,21600" arcsize="0.166666666666667" o:gfxdata="UEsDBAoAAAAAAIdO4kAAAAAAAAAAAAAAAAAEAAAAZHJzL1BLAwQUAAAACACHTuJAA0hkzNoAAAAK&#10;AQAADwAAAGRycy9kb3ducmV2LnhtbE2PMU/DMBCFdyT+g3VILIjaTZsUhTgdEJ1AqBQY2Nz4SKLG&#10;5yh2mvDvOSYYT/fpve8V29l14oxDaD1pWC4UCKTK25ZqDe9vu9s7ECEasqbzhBq+McC2vLwoTG79&#10;RK94PsRacAiF3GhoYuxzKUPVoDNh4Xsk/n35wZnI51BLO5iJw10nE6Uy6UxL3NCYHh8arE6H0WnY&#10;VW5eyc+9mp5OzzQ+fox99nKj9fXVUt2DiDjHPxh+9VkdSnY6+pFsEJ2GZLPmLVHDOslAMJBu0hTE&#10;kUm1UiDLQv6fUP4AUEsDBBQAAAAIAIdO4kAl+OWHSAIAAIIEAAAOAAAAZHJzL2Uyb0RvYy54bWyt&#10;VM2O0zAQviPxDpbvNEl/0jZqukKtipD4WbHwAK7jNEb+w3abLg8Ab8CJC3eeq8/B2MmWdrnsgRyi&#10;mcz4m/m+GWdxc5QCHZh1XKsSZ4MUI6aorrjalfjTx82LGUbOE1URoRUr8T1z+Gb5/NmiNQUb6kaL&#10;ilkEIMoVrSlx470pksTRhkniBtowBcFaW0k8uHaXVJa0gC5FMkzTPGm1rYzVlDkHX9ddEPeI9imA&#10;uq45ZWtN95Ip36FaJogHSq7hxuFl7LauGfXv69oxj0SJgamPbygC9ja8k+WCFDtLTMNp3wJ5SguP&#10;OEnCFRQ9Q62JJ2hv+T9QklOrna79gGqZdESiIsAiSx9pc9cQwyIXkNqZs+ju/8HSd4dbi3gFm5Bj&#10;pIiEiZ9+fD/9/H369Q3lo3lQqDWugMQ7c2t7z4GJtu1bXUE+2XsdyR9rK4MIQAsdo8b3Z43Z0SMK&#10;H7N5Np4MJxhRiI1mo3yahRIJKR5OG+v8K6YlCkaJrd6r6gMMMpYghzfOR6GrvltSfcaolgLGdiAC&#10;ZXmeT3vEPhmwHzDDSacFrzZciOjY3XYlLIKj0Go6X68jYzhylSYUaqH34TRNYxtXQXeFsck3q7xv&#10;4CpNcg8XR3BZ4lkanj5JKKAfJA6idmL74/bYK73V1T1obXW3unBxwWi0/YpRC2tbYvdlTyzDSLxW&#10;sBeg7jjseXTGk+kQHHsZ2V5GiKIAVWKPUWeufHc39sbyXQOVskhX6Zcw45r7MKnQatdV78BqxgH2&#10;1yjs/qUfs/7+Op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IZMzaAAAACgEAAA8AAAAAAAAA&#10;AQAgAAAAIgAAAGRycy9kb3ducmV2LnhtbFBLAQIUABQAAAAIAIdO4kAl+OWHSAIAAIIEAAAOAAAA&#10;AAAAAAEAIAAAACkBAABkcnMvZTJvRG9jLnhtbFBLBQYAAAAABgAGAFkBAADjBQAAAAA=&#10;">
                <v:fill on="t" focussize="0,0"/>
                <v:stroke weight="1pt" color="#0F6FC6" miterlimit="8" joinstyle="miter"/>
                <v:imagedata o:title=""/>
                <o:lock v:ext="edit" aspectratio="f"/>
                <v:textbo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协议和合同就业45.29%</w:t>
                      </w:r>
                    </w:p>
                    <w:p>
                      <w:pPr>
                        <w:widowControl w:val="0"/>
                        <w:adjustRightInd w:val="0"/>
                        <w:snapToGrid w:val="0"/>
                        <w:spacing w:line="240" w:lineRule="atLeast"/>
                        <w:jc w:val="center"/>
                        <w:rPr>
                          <w:rFonts w:ascii="微软雅黑" w:hAnsi="微软雅黑" w:eastAsia="微软雅黑"/>
                          <w:b/>
                          <w:bCs/>
                          <w:color w:val="FFFFFF"/>
                          <w:sz w:val="21"/>
                          <w:szCs w:val="21"/>
                        </w:rPr>
                      </w:pPr>
                    </w:p>
                  </w:txbxContent>
                </v:textbox>
              </v:roundrect>
            </w:pict>
          </mc:Fallback>
        </mc:AlternateContent>
      </w:r>
      <w:r>
        <w:rPr>
          <w:rFonts w:ascii="Times New Roman" w:hAnsi="Times New Roman"/>
          <w:bCs/>
          <w:color w:val="000000"/>
          <w:szCs w:val="30"/>
        </w:rPr>
        <mc:AlternateContent>
          <mc:Choice Requires="wps">
            <w:drawing>
              <wp:anchor distT="0" distB="0" distL="114300" distR="114300" simplePos="0" relativeHeight="251678720" behindDoc="0" locked="0" layoutInCell="1" allowOverlap="1">
                <wp:simplePos x="0" y="0"/>
                <wp:positionH relativeFrom="column">
                  <wp:posOffset>581025</wp:posOffset>
                </wp:positionH>
                <wp:positionV relativeFrom="paragraph">
                  <wp:posOffset>266700</wp:posOffset>
                </wp:positionV>
                <wp:extent cx="571500" cy="2695575"/>
                <wp:effectExtent l="0" t="0" r="12700" b="9525"/>
                <wp:wrapNone/>
                <wp:docPr id="4" name="文本框 630"/>
                <wp:cNvGraphicFramePr/>
                <a:graphic xmlns:a="http://schemas.openxmlformats.org/drawingml/2006/main">
                  <a:graphicData uri="http://schemas.microsoft.com/office/word/2010/wordprocessingShape">
                    <wps:wsp>
                      <wps:cNvSpPr/>
                      <wps:spPr bwMode="auto">
                        <a:xfrm>
                          <a:off x="0" y="0"/>
                          <a:ext cx="571500" cy="2695575"/>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毕 业 去 向</w:t>
                            </w:r>
                          </w:p>
                        </w:txbxContent>
                      </wps:txbx>
                      <wps:bodyPr rot="0" vert="eaVert" wrap="square" lIns="91440" tIns="45720" rIns="91440" bIns="45720" anchor="t" anchorCtr="0" upright="1">
                        <a:noAutofit/>
                      </wps:bodyPr>
                    </wps:wsp>
                  </a:graphicData>
                </a:graphic>
              </wp:anchor>
            </w:drawing>
          </mc:Choice>
          <mc:Fallback>
            <w:pict>
              <v:roundrect id="文本框 630" o:spid="_x0000_s1026" o:spt="2" style="position:absolute;left:0pt;margin-left:45.75pt;margin-top:21pt;height:212.25pt;width:45pt;z-index:251678720;mso-width-relative:page;mso-height-relative:page;" fillcolor="#009DD9" filled="t" stroked="t" coordsize="21600,21600" arcsize="0.166666666666667" o:gfxdata="UEsDBAoAAAAAAIdO4kAAAAAAAAAAAAAAAAAEAAAAZHJzL1BLAwQUAAAACACHTuJAI1noGtYAAAAJ&#10;AQAADwAAAGRycy9kb3ducmV2LnhtbE2PwU7DMBBE70j8g7VI3KiTqg0hxOkBFYF6QCWFuxsvcUS8&#10;jmKnLX/P5gTHnRnNvik3F9eLE46h86QgXSQgkBpvOmoVfBye73IQIWoyuveECn4wwKa6vip1YfyZ&#10;3vFUx1ZwCYVCK7AxDoWUobHodFj4AYm9Lz86HfkcW2lGfeZy18tlkmTS6Y74g9UDPllsvuvJKZjC&#10;du8+u7fc3NtX/+K3u3p12Cl1e5MmjyAiXuJfGGZ8RoeKmY5+IhNEr+AhXXNSwWrJk2Y/n4UjC1m2&#10;BlmV8v+C6hdQSwMEFAAAAAgAh07iQAIpO4RBAgAAgwQAAA4AAABkcnMvZTJvRG9jLnhtbK1UzY7T&#10;MBC+I/EOlu80SWnSbdR0hVoVIfGzYoG74ziNkf+wnab7AvAGnLhw57n6HEyctJQFiT3QQzqTGX+e&#10;75uZLK8PUqA9s45rVeBkEmPEFNUVV7sCv3+3fXKFkfNEVURoxQp8xxy+Xj1+tOxMzqa60aJiFgGI&#10;cnlnCtx4b/IocrRhkriJNkxBsNZWEg+u3UWVJR2gSxFN4ziLOm0rYzVlzsHbzRDEI6J9CKCua07Z&#10;RtNWMuUHVMsE8UDJNdw4vArV1jWj/k1dO+aRKDAw9eEJl4Bd9s9otST5zhLTcDqWQB5Swj1OknAF&#10;l56hNsQT1Fr+B5Tk1Gqnaz+hWkYDkaAIsEjie9rcNsSwwAWkduYsuvt/sPT1/sYiXhV4hpEiEhp+&#10;/Prl+O3H8ftnlD0NAnXG5ZB3a24syNV7DkxUdq90Bfmk9TpwP9RW9hoAK3QIEt+dJWYHjyi8TOdJ&#10;GoP4FELTbJGm87TvQUTy02ljnX/OtES9UWCrW1W9hT6GK8j+pfNB52qsllQfMaqlgK7tiUBJlmXz&#10;EXFMBuwTZn/SacGrLRciOHZXroVFcBRKjRebzWI8/FuaUKiDXZnOofR/YGyz7Tr7G4bkHvZGcFng&#10;q7j/jUlCAf2TqIO8/lAeRqVLXd2B1lYPkwt7CwYjH+Afow7mtsDuU0ssw0i8UDAYi2Q26wc9OLN0&#10;PgXHXkbKywhRtNGwDgA2mGs/LEdrLN81cFcSCCv9DLpcc9/3qi92qGt0YDZDC8c96of/0g9Zv74d&#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Wega1gAAAAkBAAAPAAAAAAAAAAEAIAAAACIAAABk&#10;cnMvZG93bnJldi54bWxQSwECFAAUAAAACACHTuJAAik7hEECAACDBAAADgAAAAAAAAABACAAAAAl&#10;AQAAZHJzL2Uyb0RvYy54bWxQSwUGAAAAAAYABgBZAQAA2AUAAAAA&#10;">
                <v:fill on="t" focussize="0,0"/>
                <v:stroke weight="1pt" color="#0F6FC6" miterlimit="8" joinstyle="miter"/>
                <v:imagedata o:title=""/>
                <o:lock v:ext="edit" aspectratio="f"/>
                <v:textbox style="layout-flow:vertical-ideographic;">
                  <w:txbxContent>
                    <w:p>
                      <w:pPr>
                        <w:widowControl w:val="0"/>
                        <w:adjustRightInd w:val="0"/>
                        <w:snapToGrid w:val="0"/>
                        <w:spacing w:line="240" w:lineRule="atLeast"/>
                        <w:jc w:val="cente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毕 业 去 向</w:t>
                      </w:r>
                    </w:p>
                  </w:txbxContent>
                </v:textbox>
              </v:roundrect>
            </w:pict>
          </mc:Fallback>
        </mc:AlternateContent>
      </w:r>
      <w:r>
        <w:rPr>
          <w:rFonts w:ascii="Times New Roman" w:hAnsi="Times New Roman"/>
          <w:bCs/>
          <w:color w:val="000000"/>
          <w:szCs w:val="30"/>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180975</wp:posOffset>
                </wp:positionV>
                <wp:extent cx="466725" cy="5143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66725" cy="514350"/>
                        </a:xfrm>
                        <a:prstGeom prst="rect">
                          <a:avLst/>
                        </a:prstGeom>
                        <a:noFill/>
                        <a:ln w="6350">
                          <a:noFill/>
                        </a:ln>
                      </wps:spPr>
                      <wps:txbx>
                        <w:txbxContent>
                          <w:p>
                            <w:r>
                              <w:drawing>
                                <wp:inline distT="0" distB="0" distL="0" distR="0">
                                  <wp:extent cx="285115" cy="32385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0121" cy="329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14.25pt;height:40.5pt;width:36.75pt;z-index:251686912;mso-width-relative:page;mso-height-relative:page;" filled="f" stroked="f" coordsize="21600,21600" o:gfxdata="UEsDBAoAAAAAAIdO4kAAAAAAAAAAAAAAAAAEAAAAZHJzL1BLAwQUAAAACACHTuJAIjUW+9oAAAAK&#10;AQAADwAAAGRycy9kb3ducmV2LnhtbE2PzU7DMBCE70i8g7VI3KidSIE0xKlQpAoJwaGlF26beJtE&#10;xHaI3R94epYTve1oRrPflKuzHcWR5jB4pyFZKBDkWm8G12nYva/vchAhojM4ekcavinAqrq+KrEw&#10;/uQ2dNzGTnCJCwVq6GOcCilD25PFsPATOfb2frYYWc6dNDOeuNyOMlXqXlocHH/ocaK6p/Zze7Aa&#10;Xur1G26a1OY/Y/38un+avnYfmda3N4l6BBHpHP/D8IfP6FAxU+MPzgQxsl7mvCVqSPMMBAfSh4SP&#10;hh21zEBWpbycUP0CUEsDBBQAAAAIAIdO4kCo0yG3OgIAAGcEAAAOAAAAZHJzL2Uyb0RvYy54bWyt&#10;VMFuEzEQvSPxD5bvdJOQpBB1U4VWRUgVrVQQZ8fr7a5ke4ztdLd8APwBJy7c+a58B8/epC2FQw9c&#10;vOOZ8cy8NzN7dNwbzW6UDy3Zko8PRpwpK6lq7XXJP344e/GKsxCFrYQmq0p+qwI/Xj5/dtS5hZpQ&#10;Q7pSniGIDYvOlbyJ0S2KIshGGREOyCkLY03eiIirvy4qLzpEN7qYjEbzoiNfOU9ShQDt6WDku4j+&#10;KQGprlupTklujLJxiOqVFhGQQtO6wJe52rpWMl7UdVCR6ZIDacwnkkBep7NYHonFtReuaeWuBPGU&#10;Eh5hMqK1SHoX6lREwTa+/SuUaaWnQHU8kGSKAUhmBCjGo0fcXDXCqYwFVAd3R3r4f2Hl+5tLz9oK&#10;kzDhzAqDjm+/f9v++LX9+ZVBB4I6Fxbwu3LwjP0b6uG81wcoE+6+9iZ9gYjBDnpv7+hVfWQSyul8&#10;fjiZcSZhmo2nL2eZ/uL+sfMhvlVkWBJK7tG9TKq4OQ8RhcB175JyWTprtc4d1JZ1JZ+nkH9Y8EJb&#10;PEwQhlKTFPt1v8O1puoWsDwNkxGcPGuR/FyEeCk8RgFIsCzxAketCUloJ3HWkP/yL33yR4dg5azD&#10;aJU8fN4IrzjT7yx693o8naZZzJfp7HCCi39oWT+02I05IUzvGGvpZBaTf9R7sfZkPmGnVikrTMJK&#10;5C553IsncRh47KRUq1V2wvQ5Ec/tlZMp9EDaahOpbjPTiaaBmx17mL/cgN2upAF/eM9e9/+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NRb72gAAAAoBAAAPAAAAAAAAAAEAIAAAACIAAABkcnMv&#10;ZG93bnJldi54bWxQSwECFAAUAAAACACHTuJAqNMhtzoCAABnBAAADgAAAAAAAAABACAAAAApAQAA&#10;ZHJzL2Uyb0RvYy54bWxQSwUGAAAAAAYABgBZAQAA1QUAAAAA&#10;">
                <v:fill on="f" focussize="0,0"/>
                <v:stroke on="f" weight="0.5pt"/>
                <v:imagedata o:title=""/>
                <o:lock v:ext="edit" aspectratio="f"/>
                <v:textbox>
                  <w:txbxContent>
                    <w:p>
                      <w:r>
                        <w:drawing>
                          <wp:inline distT="0" distB="0" distL="0" distR="0">
                            <wp:extent cx="285115" cy="32385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0121" cy="329144"/>
                                    </a:xfrm>
                                    <a:prstGeom prst="rect">
                                      <a:avLst/>
                                    </a:prstGeom>
                                    <a:noFill/>
                                    <a:ln>
                                      <a:noFill/>
                                    </a:ln>
                                  </pic:spPr>
                                </pic:pic>
                              </a:graphicData>
                            </a:graphic>
                          </wp:inline>
                        </w:drawing>
                      </w:r>
                    </w:p>
                  </w:txbxContent>
                </v:textbox>
              </v:shape>
            </w:pict>
          </mc:Fallback>
        </mc:AlternateContent>
      </w:r>
      <w:r>
        <w:rPr>
          <w:rFonts w:ascii="Times New Roman" w:hAnsi="Times New Roman"/>
          <w:bCs/>
          <w:color w:val="000000"/>
          <w:szCs w:val="30"/>
        </w:rPr>
        <mc:AlternateContent>
          <mc:Choice Requires="wps">
            <w:drawing>
              <wp:anchor distT="0" distB="0" distL="114300" distR="114300" simplePos="0" relativeHeight="251685888" behindDoc="0" locked="0" layoutInCell="1" allowOverlap="1">
                <wp:simplePos x="0" y="0"/>
                <wp:positionH relativeFrom="column">
                  <wp:posOffset>4057650</wp:posOffset>
                </wp:positionH>
                <wp:positionV relativeFrom="paragraph">
                  <wp:posOffset>600075</wp:posOffset>
                </wp:positionV>
                <wp:extent cx="866775" cy="942975"/>
                <wp:effectExtent l="0" t="0" r="9525" b="9525"/>
                <wp:wrapNone/>
                <wp:docPr id="13" name="文本框 66"/>
                <wp:cNvGraphicFramePr/>
                <a:graphic xmlns:a="http://schemas.openxmlformats.org/drawingml/2006/main">
                  <a:graphicData uri="http://schemas.microsoft.com/office/word/2010/wordprocessingShape">
                    <wps:wsp>
                      <wps:cNvSpPr/>
                      <wps:spPr bwMode="auto">
                        <a:xfrm>
                          <a:off x="0" y="0"/>
                          <a:ext cx="866775" cy="942975"/>
                        </a:xfrm>
                        <a:prstGeom prst="roundRect">
                          <a:avLst>
                            <a:gd name="adj" fmla="val 16667"/>
                          </a:avLst>
                        </a:prstGeom>
                        <a:solidFill>
                          <a:srgbClr val="009DD9"/>
                        </a:solidFill>
                        <a:ln w="12700">
                          <a:solidFill>
                            <a:srgbClr val="0F6FC6"/>
                          </a:solidFill>
                          <a:miter lim="800000"/>
                        </a:ln>
                      </wps:spPr>
                      <wps:txb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毕业去向落实率90.7</w:t>
                            </w:r>
                            <w:r>
                              <w:rPr>
                                <w:rFonts w:ascii="微软雅黑" w:hAnsi="微软雅黑" w:eastAsia="微软雅黑"/>
                                <w:b/>
                                <w:bCs/>
                                <w:color w:val="FFFFFF"/>
                                <w:sz w:val="21"/>
                                <w:szCs w:val="21"/>
                              </w:rPr>
                              <w:t>1</w:t>
                            </w:r>
                            <w:r>
                              <w:rPr>
                                <w:rFonts w:hint="eastAsia" w:ascii="微软雅黑" w:hAnsi="微软雅黑" w:eastAsia="微软雅黑"/>
                                <w:b/>
                                <w:bCs/>
                                <w:color w:val="FFFFFF"/>
                                <w:sz w:val="21"/>
                                <w:szCs w:val="21"/>
                              </w:rPr>
                              <w:t>%</w:t>
                            </w:r>
                          </w:p>
                          <w:p>
                            <w:pPr>
                              <w:widowControl w:val="0"/>
                              <w:adjustRightInd w:val="0"/>
                              <w:snapToGrid w:val="0"/>
                              <w:spacing w:line="240" w:lineRule="atLeast"/>
                              <w:jc w:val="center"/>
                              <w:rPr>
                                <w:rFonts w:ascii="微软雅黑" w:hAnsi="微软雅黑" w:eastAsia="微软雅黑"/>
                                <w:b/>
                                <w:bCs/>
                                <w:color w:val="FFFFFF"/>
                                <w:sz w:val="21"/>
                                <w:szCs w:val="21"/>
                              </w:rPr>
                            </w:pPr>
                          </w:p>
                        </w:txbxContent>
                      </wps:txbx>
                      <wps:bodyPr rot="0" vert="horz" wrap="square" lIns="91440" tIns="45720" rIns="91440" bIns="45720" anchor="t" anchorCtr="0" upright="1">
                        <a:noAutofit/>
                      </wps:bodyPr>
                    </wps:wsp>
                  </a:graphicData>
                </a:graphic>
              </wp:anchor>
            </w:drawing>
          </mc:Choice>
          <mc:Fallback>
            <w:pict>
              <v:roundrect id="文本框 66" o:spid="_x0000_s1026" o:spt="2" style="position:absolute;left:0pt;margin-left:319.5pt;margin-top:47.25pt;height:74.25pt;width:68.25pt;z-index:251685888;mso-width-relative:page;mso-height-relative:page;" fillcolor="#009DD9" filled="t" stroked="t" coordsize="21600,21600" arcsize="0.166666666666667" o:gfxdata="UEsDBAoAAAAAAIdO4kAAAAAAAAAAAAAAAAAEAAAAZHJzL1BLAwQUAAAACACHTuJAEsD+FtsAAAAK&#10;AQAADwAAAGRycy9kb3ducmV2LnhtbE2PwU7DMBBE70j8g7VIXBC127QpDdn0gOgJVEGBAzc3NknU&#10;eB3FThP+nuUEt1nNaPZNvp1cK862D40nhPlMgbBUetNQhfD+tru9AxGiJqNbTxbh2wbYFpcXuc6M&#10;H+nVng+xElxCIdMIdYxdJmUoa+t0mPnOEntfvnc68tlX0vR65HLXyoVSqXS6If5Q684+1LY8HQaH&#10;sCvdlMjPFzU+nZ5pePwYunR/g3h9NVf3IKKd4l8YfvEZHQpmOvqBTBAtQppseEtE2CxXIDiwXq9Y&#10;HBEWy0SBLHL5f0LxA1BLAwQUAAAACACHTuJARu9s1EUCAACABAAADgAAAGRycy9lMm9Eb2MueG1s&#10;rVTNjtMwEL4j8Q6W7zRp6abbqOkKtSpC4mfFwgM4jtMY+Q/baVoegH0DTly481x9DsZOtrTLZQ/k&#10;EM1kxt/M9804i5u9FGjHrONaFXg8SjFiiuqKq22BP3/avLjGyHmiKiK0YgU+MIdvls+fLTqTs4lu&#10;tKiYRQCiXN6ZAjfemzxJHG2YJG6kDVMQrLWVxINrt0llSQfoUiSTNM2STtvKWE2Zc/B13QfxgGif&#10;AqjrmlO21rSVTPke1TJBPFByDTcOL2O3dc2o/1DXjnkkCgxMfXxDEbDL8E6WC5JvLTENp0ML5Ckt&#10;POIkCVdQ9AS1Jp6g1vJ/oCSnVjtd+xHVMumJREWAxTh9pM1dQwyLXEBqZ06iu/8HS9/vbi3iFWzC&#10;S4wUkTDx44/748/fx1/fUZYFgTrjcsi7M7d28ByYqOze6QrSSet15L6vrQwaACu0jxIfThKzvUcU&#10;Pl5n2Wx2hRGF0Hw6mYMNmAnJHw4b6/xrpiUKRoGtblX1EcYYK5DdW+ejzNXQK6m+YFRLAUPbEYHG&#10;GeAPiEMyYD9ghpNOC15tuBDRsdtyJSyCo9BpOl+v58PhizShUAcCTWZpGtu4CLoLjE22WUXRoOxF&#10;muQero3gEjRIwzMUEgroB4WDpr3Wfl/uB6FLXR1Aaqv7xYVrC0aj7TeMOljaAruvLbEMI/FGwVbM&#10;x9Np2PLoTK9mE3DseaQ8jxBFAarAHqPeXPn+ZrTG8m0DlcaRrtKvYMQ192FSodW+q8GBxYwDHC5R&#10;2PxzP2b9/XE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wP4W2wAAAAoBAAAPAAAAAAAAAAEA&#10;IAAAACIAAABkcnMvZG93bnJldi54bWxQSwECFAAUAAAACACHTuJARu9s1EUCAACABAAADgAAAAAA&#10;AAABACAAAAAqAQAAZHJzL2Uyb0RvYy54bWxQSwUGAAAAAAYABgBZAQAA4QUAAAAA&#10;">
                <v:fill on="t" focussize="0,0"/>
                <v:stroke weight="1pt" color="#0F6FC6" miterlimit="8" joinstyle="miter"/>
                <v:imagedata o:title=""/>
                <o:lock v:ext="edit" aspectratio="f"/>
                <v:textbox>
                  <w:txbxContent>
                    <w:p>
                      <w:pPr>
                        <w:widowControl w:val="0"/>
                        <w:adjustRightInd w:val="0"/>
                        <w:snapToGrid w:val="0"/>
                        <w:spacing w:line="240" w:lineRule="atLeast"/>
                        <w:jc w:val="center"/>
                        <w:rPr>
                          <w:rFonts w:ascii="微软雅黑" w:hAnsi="微软雅黑" w:eastAsia="微软雅黑"/>
                          <w:b/>
                          <w:bCs/>
                          <w:color w:val="FFFFFF"/>
                          <w:sz w:val="21"/>
                          <w:szCs w:val="21"/>
                        </w:rPr>
                      </w:pPr>
                      <w:r>
                        <w:rPr>
                          <w:rFonts w:hint="eastAsia" w:ascii="微软雅黑" w:hAnsi="微软雅黑" w:eastAsia="微软雅黑"/>
                          <w:b/>
                          <w:bCs/>
                          <w:color w:val="FFFFFF"/>
                          <w:sz w:val="21"/>
                          <w:szCs w:val="21"/>
                        </w:rPr>
                        <w:t>毕业去向落实率90.7</w:t>
                      </w:r>
                      <w:r>
                        <w:rPr>
                          <w:rFonts w:ascii="微软雅黑" w:hAnsi="微软雅黑" w:eastAsia="微软雅黑"/>
                          <w:b/>
                          <w:bCs/>
                          <w:color w:val="FFFFFF"/>
                          <w:sz w:val="21"/>
                          <w:szCs w:val="21"/>
                        </w:rPr>
                        <w:t>1</w:t>
                      </w:r>
                      <w:r>
                        <w:rPr>
                          <w:rFonts w:hint="eastAsia" w:ascii="微软雅黑" w:hAnsi="微软雅黑" w:eastAsia="微软雅黑"/>
                          <w:b/>
                          <w:bCs/>
                          <w:color w:val="FFFFFF"/>
                          <w:sz w:val="21"/>
                          <w:szCs w:val="21"/>
                        </w:rPr>
                        <w:t>%</w:t>
                      </w:r>
                    </w:p>
                    <w:p>
                      <w:pPr>
                        <w:widowControl w:val="0"/>
                        <w:adjustRightInd w:val="0"/>
                        <w:snapToGrid w:val="0"/>
                        <w:spacing w:line="240" w:lineRule="atLeast"/>
                        <w:jc w:val="center"/>
                        <w:rPr>
                          <w:rFonts w:ascii="微软雅黑" w:hAnsi="微软雅黑" w:eastAsia="微软雅黑"/>
                          <w:b/>
                          <w:bCs/>
                          <w:color w:val="FFFFFF"/>
                          <w:sz w:val="21"/>
                          <w:szCs w:val="21"/>
                        </w:rPr>
                      </w:pPr>
                    </w:p>
                  </w:txbxContent>
                </v:textbox>
              </v:roundrect>
            </w:pict>
          </mc:Fallback>
        </mc:AlternateContent>
      </w:r>
      <w:r>
        <w:rPr>
          <w:rFonts w:ascii="Times New Roman" w:hAnsi="Times New Roman"/>
          <w:bCs/>
          <w:color w:val="000000"/>
          <w:szCs w:val="30"/>
        </w:rPr>
        <mc:AlternateContent>
          <mc:Choice Requires="wps">
            <w:drawing>
              <wp:inline distT="0" distB="0" distL="0" distR="0">
                <wp:extent cx="5334000" cy="2943225"/>
                <wp:effectExtent l="0" t="0" r="0" b="9525"/>
                <wp:docPr id="32" name="文本框 2"/>
                <wp:cNvGraphicFramePr/>
                <a:graphic xmlns:a="http://schemas.openxmlformats.org/drawingml/2006/main">
                  <a:graphicData uri="http://schemas.microsoft.com/office/word/2010/wordprocessingShape">
                    <wps:wsp>
                      <wps:cNvSpPr txBox="1"/>
                      <wps:spPr bwMode="auto">
                        <a:xfrm>
                          <a:off x="0" y="0"/>
                          <a:ext cx="5334000" cy="2943225"/>
                        </a:xfrm>
                        <a:prstGeom prst="rect">
                          <a:avLst/>
                        </a:prstGeom>
                        <a:solidFill>
                          <a:srgbClr val="FFFFFF"/>
                        </a:solidFill>
                        <a:ln>
                          <a:noFill/>
                        </a:ln>
                      </wps:spPr>
                      <wps:txbx>
                        <w:txbxContent>
                          <w:p>
                            <w:pPr>
                              <w:pStyle w:val="63"/>
                              <w:spacing w:before="156" w:after="156"/>
                            </w:pPr>
                          </w:p>
                        </w:txbxContent>
                      </wps:txbx>
                      <wps:bodyPr rot="0" vert="horz" wrap="square" lIns="91440" tIns="45720" rIns="91440" bIns="45720" anchor="t" anchorCtr="0" upright="1">
                        <a:noAutofit/>
                      </wps:bodyPr>
                    </wps:wsp>
                  </a:graphicData>
                </a:graphic>
              </wp:inline>
            </w:drawing>
          </mc:Choice>
          <mc:Fallback>
            <w:pict>
              <v:shape id="文本框 2" o:spid="_x0000_s1026" o:spt="202" type="#_x0000_t202" style="height:231.75pt;width:420pt;" fillcolor="#FFFFFF" filled="t" stroked="f" coordsize="21600,21600" o:gfxdata="UEsDBAoAAAAAAIdO4kAAAAAAAAAAAAAAAAAEAAAAZHJzL1BLAwQUAAAACACHTuJA0uGy7NQAAAAF&#10;AQAADwAAAGRycy9kb3ducmV2LnhtbE2PwU7DMBBE70j8g7VIXBB1Cmla0jiVQAJxbekHbOJtEjVe&#10;R7HbtH/PwgUuI41mNfO22Fxcr840hs6zgfksAUVce9txY2D/9f64AhUissXeMxm4UoBNeXtTYG79&#10;xFs672KjpIRDjgbaGIdc61C35DDM/EAs2cGPDqPYsdF2xEnKXa+fkiTTDjuWhRYHemupPu5OzsDh&#10;c3pYvEzVR9wvt2n2it2y8ldj7u/myRpUpEv8O4YffEGHUpgqf2IbVG9AHom/KtkqTcRWBtLseQG6&#10;LPR/+vIbUEsDBBQAAAAIAIdO4kB2aUZhEQIAABAEAAAOAAAAZHJzL2Uyb0RvYy54bWytU82O0zAQ&#10;viPxDpbvNGnawm7UdAVbFSHxJy08gOM4jSXHY2y3SXkAeANOXLjzXH2OHTtpKctlD+QQeX78zXzf&#10;jJc3favIXlgnQRd0OkkpEZpDJfW2oJ8/bZ5dUeI80xVToEVBD8LRm9XTJ8vO5CKDBlQlLEEQ7fLO&#10;FLTx3uRJ4ngjWuYmYITGYA22ZR5Nu00qyzpEb1WSpenzpANbGQtcOIfe9RCkI6J9DCDUteRiDXzX&#10;Cu0HVCsU80jJNdI4uord1rXg/kNdO+GJKigy9fGPRfBchn+yWrJ8a5lpJB9bYI9p4QGnlkmNRc9Q&#10;a+YZ2Vn5D1QruQUHtZ9waJOBSFQEWUzTB9rcNcyIyAWlduYsuvt/sPz9/qMlsiroLKNEsxYnfvzx&#10;/fjz9/HXN5IFfTrjcky7M5jo+1fQ49ac/C44y+4dVHiP7TxEEfratkEMpEcwG7U+nLUWvSccnYvZ&#10;bJ6mGOIYy67nsyxbBNSE5afrxjr/WkBLwqGgFocZ4dn+rfND6iklVHOgZLWRSkXDbstbZcme4eA3&#10;8RvR/0pTOiRrCNcGxOBJAuVAbSDv+7IfdSihOiBjC8Mi4TPCQwP2KyUdLlFB3Zcds4IS9UbjlK6n&#10;83nYumjMFy8yNOxlpLyMMM0RqqCekuF464dN3Rkrtw1Wmkb+Gl6i0rWMGoRWh67GvnFRoorjUodN&#10;vLRj1p+HvL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uGy7NQAAAAFAQAADwAAAAAAAAABACAA&#10;AAAiAAAAZHJzL2Rvd25yZXYueG1sUEsBAhQAFAAAAAgAh07iQHZpRmERAgAAEAQAAA4AAAAAAAAA&#10;AQAgAAAAIwEAAGRycy9lMm9Eb2MueG1sUEsFBgAAAAAGAAYAWQEAAKYFAAAAAA==&#10;">
                <v:fill on="t" focussize="0,0"/>
                <v:stroke on="f"/>
                <v:imagedata o:title=""/>
                <o:lock v:ext="edit" aspectratio="f"/>
                <v:textbox>
                  <w:txbxContent>
                    <w:p>
                      <w:pPr>
                        <w:pStyle w:val="63"/>
                        <w:spacing w:before="156" w:after="156"/>
                      </w:pPr>
                    </w:p>
                  </w:txbxContent>
                </v:textbox>
                <w10:wrap type="none"/>
                <w10:anchorlock/>
              </v:shape>
            </w:pict>
          </mc:Fallback>
        </mc:AlternateContent>
      </w:r>
    </w:p>
    <w:p>
      <w:pPr>
        <w:pStyle w:val="218"/>
        <w:spacing w:before="156" w:after="156"/>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t xml:space="preserve">  2021届</w:t>
      </w:r>
      <w:r>
        <w:rPr>
          <w:rFonts w:hint="eastAsia"/>
        </w:rPr>
        <w:t>毕业生毕业去向及落实率</w:t>
      </w:r>
    </w:p>
    <w:p>
      <w:pPr>
        <w:pStyle w:val="141"/>
        <w:rPr>
          <w:color w:val="0F6FC6" w:themeColor="accent5"/>
          <w14:textFill>
            <w14:solidFill>
              <w14:schemeClr w14:val="accent5"/>
            </w14:solidFill>
          </w14:textFill>
        </w:rPr>
      </w:pPr>
      <w:bookmarkStart w:id="16" w:name="_Toc520328883"/>
      <w:bookmarkStart w:id="17" w:name="_Toc92706700"/>
      <w:bookmarkStart w:id="18" w:name="_Toc80114280"/>
      <w:bookmarkStart w:id="19" w:name="_Toc82010477"/>
      <w:r>
        <w:rPr>
          <w:rFonts w:hint="eastAsia"/>
          <w:color w:val="0F6FC6" w:themeColor="accent5"/>
          <w14:textFill>
            <w14:solidFill>
              <w14:schemeClr w14:val="accent5"/>
            </w14:solidFill>
          </w14:textFill>
        </w:rPr>
        <w:t>二、就业</w:t>
      </w:r>
      <w:bookmarkEnd w:id="16"/>
      <w:r>
        <w:rPr>
          <w:rFonts w:hint="eastAsia"/>
          <w:color w:val="0F6FC6" w:themeColor="accent5"/>
          <w14:textFill>
            <w14:solidFill>
              <w14:schemeClr w14:val="accent5"/>
            </w14:solidFill>
          </w14:textFill>
        </w:rPr>
        <w:t>分布</w:t>
      </w:r>
      <w:bookmarkEnd w:id="17"/>
      <w:bookmarkEnd w:id="18"/>
      <w:bookmarkEnd w:id="19"/>
    </w:p>
    <w:p>
      <w:pPr>
        <w:pStyle w:val="178"/>
        <w:spacing w:before="156"/>
        <w:ind w:firstLine="480"/>
      </w:pPr>
      <w:r>
        <w:rPr>
          <w:rFonts w:hint="eastAsia"/>
        </w:rPr>
        <w:t>学校</w:t>
      </w:r>
      <w:r>
        <w:t>2021届毕业生</w:t>
      </w:r>
      <w:r>
        <w:rPr>
          <w:rFonts w:hint="eastAsia"/>
        </w:rPr>
        <w:t>中有57.36%的毕业生选择在省内就业，服务本地经济发展；就业行业以“</w:t>
      </w:r>
      <w:r>
        <w:rPr>
          <w:rFonts w:hint="eastAsia"/>
          <w:lang w:val="en-US"/>
        </w:rPr>
        <w:t>卫生和社会工作</w:t>
      </w:r>
      <w:r>
        <w:rPr>
          <w:rFonts w:hint="eastAsia"/>
        </w:rPr>
        <w:t>”为主；就业职业以“</w:t>
      </w:r>
      <w:r>
        <w:rPr>
          <w:rFonts w:hint="eastAsia"/>
          <w:lang w:val="en-US"/>
        </w:rPr>
        <w:t>其他人员</w:t>
      </w:r>
      <w:r>
        <w:rPr>
          <w:rFonts w:hint="eastAsia"/>
        </w:rPr>
        <w:t>”为主；就业单位以“其他企业”为主。</w:t>
      </w:r>
    </w:p>
    <w:p>
      <w:pPr>
        <w:pStyle w:val="178"/>
        <w:spacing w:before="156"/>
        <w:ind w:firstLine="400"/>
      </w:pPr>
      <w:r>
        <w:rPr>
          <w:rFonts w:ascii="Calibri Light" w:hAnsi="Calibri Light"/>
          <w:bCs w:val="0"/>
          <w:color w:val="auto"/>
          <w:sz w:val="20"/>
          <w:szCs w:val="20"/>
          <w:lang w:val="en-US"/>
        </w:rPr>
        <mc:AlternateContent>
          <mc:Choice Requires="wpg">
            <w:drawing>
              <wp:inline distT="0" distB="0" distL="0" distR="0">
                <wp:extent cx="5080000" cy="2802890"/>
                <wp:effectExtent l="0" t="0" r="0" b="0"/>
                <wp:docPr id="467" name="组合 35"/>
                <wp:cNvGraphicFramePr/>
                <a:graphic xmlns:a="http://schemas.openxmlformats.org/drawingml/2006/main">
                  <a:graphicData uri="http://schemas.microsoft.com/office/word/2010/wordprocessingGroup">
                    <wpg:wgp>
                      <wpg:cNvGrpSpPr/>
                      <wpg:grpSpPr>
                        <a:xfrm>
                          <a:off x="0" y="0"/>
                          <a:ext cx="5080000" cy="2802890"/>
                          <a:chOff x="0" y="0"/>
                          <a:chExt cx="82387" cy="56781"/>
                        </a:xfrm>
                      </wpg:grpSpPr>
                      <wpg:grpSp>
                        <wpg:cNvPr id="468" name="组合 98"/>
                        <wpg:cNvGrpSpPr/>
                        <wpg:grpSpPr>
                          <a:xfrm>
                            <a:off x="0" y="0"/>
                            <a:ext cx="38783" cy="27495"/>
                            <a:chOff x="0" y="0"/>
                            <a:chExt cx="38783" cy="27495"/>
                          </a:xfrm>
                        </wpg:grpSpPr>
                        <wpg:grpSp>
                          <wpg:cNvPr id="469" name="组合 99"/>
                          <wpg:cNvGrpSpPr/>
                          <wpg:grpSpPr>
                            <a:xfrm>
                              <a:off x="0" y="0"/>
                              <a:ext cx="38783" cy="6463"/>
                              <a:chOff x="0" y="0"/>
                              <a:chExt cx="20968" cy="6463"/>
                            </a:xfrm>
                          </wpg:grpSpPr>
                          <wps:wsp>
                            <wps:cNvPr id="470" name="矩形: 圆角 100"/>
                            <wps:cNvSpPr/>
                            <wps:spPr bwMode="auto">
                              <a:xfrm>
                                <a:off x="0" y="0"/>
                                <a:ext cx="20968" cy="6463"/>
                              </a:xfrm>
                              <a:prstGeom prst="roundRect">
                                <a:avLst>
                                  <a:gd name="adj" fmla="val 50000"/>
                                </a:avLst>
                              </a:prstGeom>
                              <a:solidFill>
                                <a:srgbClr val="EF8046"/>
                              </a:solidFill>
                              <a:ln>
                                <a:noFill/>
                              </a:ln>
                            </wps:spPr>
                            <wps:bodyPr rot="0" vert="horz" wrap="square" lIns="91440" tIns="45720" rIns="91440" bIns="45720" anchor="t" anchorCtr="0" upright="1">
                              <a:noAutofit/>
                            </wps:bodyPr>
                          </wps:wsp>
                          <wps:wsp>
                            <wps:cNvPr id="471" name="矩形 171"/>
                            <wps:cNvSpPr/>
                            <wps:spPr bwMode="auto">
                              <a:xfrm>
                                <a:off x="1891" y="57"/>
                                <a:ext cx="17183" cy="6406"/>
                              </a:xfrm>
                              <a:prstGeom prst="rect">
                                <a:avLst/>
                              </a:prstGeom>
                              <a:noFill/>
                              <a:ln>
                                <a:noFill/>
                              </a:ln>
                            </wps:spPr>
                            <wps:txb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就业地区</w:t>
                                  </w:r>
                                </w:p>
                              </w:txbxContent>
                            </wps:txbx>
                            <wps:bodyPr rot="0" vert="horz" wrap="square" lIns="91440" tIns="45720" rIns="91440" bIns="45720" anchor="t" anchorCtr="0" upright="1">
                              <a:noAutofit/>
                            </wps:bodyPr>
                          </wps:wsp>
                        </wpg:grpSp>
                        <wpg:grpSp>
                          <wpg:cNvPr id="472" name="组合 172"/>
                          <wpg:cNvGrpSpPr/>
                          <wpg:grpSpPr>
                            <a:xfrm>
                              <a:off x="0" y="7849"/>
                              <a:ext cx="38783" cy="19646"/>
                              <a:chOff x="0" y="7849"/>
                              <a:chExt cx="38783" cy="19646"/>
                            </a:xfrm>
                          </wpg:grpSpPr>
                          <wps:wsp>
                            <wps:cNvPr id="473" name="矩形: 圆角 175"/>
                            <wps:cNvSpPr/>
                            <wps:spPr bwMode="auto">
                              <a:xfrm>
                                <a:off x="0" y="7849"/>
                                <a:ext cx="38783" cy="17045"/>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474" name="矩形 176"/>
                            <wps:cNvSpPr/>
                            <wps:spPr bwMode="auto">
                              <a:xfrm>
                                <a:off x="1261" y="8947"/>
                                <a:ext cx="36417" cy="18548"/>
                              </a:xfrm>
                              <a:prstGeom prst="rect">
                                <a:avLst/>
                              </a:prstGeom>
                              <a:noFill/>
                              <a:ln>
                                <a:noFill/>
                              </a:ln>
                            </wps:spPr>
                            <wps:txbx>
                              <w:txbxContent>
                                <w:p>
                                  <w:pPr>
                                    <w:pStyle w:val="29"/>
                                    <w:spacing w:beforeAutospacing="0" w:after="0" w:afterAutospacing="0"/>
                                    <w:rPr>
                                      <w:rFonts w:ascii="Times New Roman" w:hAnsi="Times New Roman" w:cs="Times New Roman"/>
                                      <w:sz w:val="21"/>
                                      <w:szCs w:val="21"/>
                                    </w:rPr>
                                  </w:pPr>
                                  <w:r>
                                    <w:rPr>
                                      <w:rFonts w:ascii="Times New Roman" w:hAnsi="Times New Roman" w:eastAsia="Calibri" w:cs="Times New Roman"/>
                                      <w:color w:val="000000"/>
                                      <w:sz w:val="21"/>
                                      <w:szCs w:val="21"/>
                                    </w:rPr>
                                    <w:t>湖北省（57.36%）</w:t>
                                  </w:r>
                                </w:p>
                                <w:p>
                                  <w:pPr>
                                    <w:pStyle w:val="29"/>
                                    <w:spacing w:beforeAutospacing="0" w:after="0" w:afterAutospacing="0"/>
                                    <w:rPr>
                                      <w:sz w:val="21"/>
                                      <w:szCs w:val="21"/>
                                    </w:rPr>
                                  </w:pPr>
                                  <w:r>
                                    <w:rPr>
                                      <w:rFonts w:hint="eastAsia" w:ascii="Calibri" w:eastAsia="Calibri" w:cs="Calibri"/>
                                      <w:color w:val="000000"/>
                                      <w:sz w:val="21"/>
                                      <w:szCs w:val="21"/>
                                    </w:rPr>
                                    <w:t>广东省（</w:t>
                                  </w:r>
                                  <w:r>
                                    <w:rPr>
                                      <w:rFonts w:ascii="Times New Roman" w:hAnsi="Times New Roman" w:eastAsia="Calibri" w:cs="Times New Roman"/>
                                      <w:color w:val="000000"/>
                                      <w:sz w:val="21"/>
                                      <w:szCs w:val="21"/>
                                    </w:rPr>
                                    <w:t>8.34%</w:t>
                                  </w:r>
                                  <w:r>
                                    <w:rPr>
                                      <w:rFonts w:hint="eastAsia" w:ascii="Calibri" w:eastAsia="Calibri" w:cs="Calibri"/>
                                      <w:color w:val="000000"/>
                                      <w:sz w:val="21"/>
                                      <w:szCs w:val="21"/>
                                    </w:rPr>
                                    <w:t>）</w:t>
                                  </w:r>
                                </w:p>
                                <w:p>
                                  <w:pPr>
                                    <w:pStyle w:val="29"/>
                                    <w:spacing w:beforeAutospacing="0" w:after="0" w:afterAutospacing="0"/>
                                    <w:rPr>
                                      <w:rFonts w:ascii="Calibri" w:cs="Calibri"/>
                                      <w:color w:val="000000"/>
                                      <w:sz w:val="21"/>
                                      <w:szCs w:val="21"/>
                                    </w:rPr>
                                  </w:pPr>
                                  <w:r>
                                    <w:rPr>
                                      <w:rFonts w:hint="eastAsia" w:ascii="Calibri" w:eastAsia="Calibri" w:cs="Calibri"/>
                                      <w:color w:val="000000"/>
                                      <w:sz w:val="21"/>
                                      <w:szCs w:val="21"/>
                                    </w:rPr>
                                    <w:t>浙江省（</w:t>
                                  </w:r>
                                  <w:r>
                                    <w:rPr>
                                      <w:rFonts w:ascii="Times New Roman" w:hAnsi="Times New Roman" w:eastAsia="Calibri" w:cs="Times New Roman"/>
                                      <w:color w:val="000000"/>
                                      <w:sz w:val="21"/>
                                      <w:szCs w:val="21"/>
                                    </w:rPr>
                                    <w:t>5.18%</w:t>
                                  </w:r>
                                  <w:r>
                                    <w:rPr>
                                      <w:rFonts w:hint="eastAsia" w:ascii="Calibri" w:eastAsia="Calibri" w:cs="Calibri"/>
                                      <w:color w:val="000000"/>
                                      <w:sz w:val="21"/>
                                      <w:szCs w:val="21"/>
                                    </w:rPr>
                                    <w:t>）</w:t>
                                  </w:r>
                                </w:p>
                              </w:txbxContent>
                            </wps:txbx>
                            <wps:bodyPr rot="0" vert="horz" wrap="square" lIns="91440" tIns="45720" rIns="91440" bIns="45720" anchor="t" anchorCtr="0" upright="1">
                              <a:noAutofit/>
                            </wps:bodyPr>
                          </wps:wsp>
                        </wpg:grpSp>
                      </wpg:grpSp>
                      <wpg:grpSp>
                        <wpg:cNvPr id="475" name="组合 177"/>
                        <wpg:cNvGrpSpPr/>
                        <wpg:grpSpPr>
                          <a:xfrm>
                            <a:off x="40071" y="0"/>
                            <a:ext cx="42316" cy="27495"/>
                            <a:chOff x="40071" y="0"/>
                            <a:chExt cx="42316" cy="27495"/>
                          </a:xfrm>
                        </wpg:grpSpPr>
                        <wpg:grpSp>
                          <wpg:cNvPr id="477" name="组合 178"/>
                          <wpg:cNvGrpSpPr/>
                          <wpg:grpSpPr>
                            <a:xfrm>
                              <a:off x="40154" y="0"/>
                              <a:ext cx="38783" cy="6463"/>
                              <a:chOff x="40154" y="0"/>
                              <a:chExt cx="20968" cy="6463"/>
                            </a:xfrm>
                          </wpg:grpSpPr>
                          <wps:wsp>
                            <wps:cNvPr id="478" name="矩形: 圆角 179"/>
                            <wps:cNvSpPr/>
                            <wps:spPr bwMode="auto">
                              <a:xfrm>
                                <a:off x="40154" y="0"/>
                                <a:ext cx="20968" cy="6463"/>
                              </a:xfrm>
                              <a:prstGeom prst="roundRect">
                                <a:avLst>
                                  <a:gd name="adj" fmla="val 50000"/>
                                </a:avLst>
                              </a:prstGeom>
                              <a:solidFill>
                                <a:srgbClr val="FEC74C"/>
                              </a:solidFill>
                              <a:ln>
                                <a:noFill/>
                              </a:ln>
                            </wps:spPr>
                            <wps:bodyPr rot="0" vert="horz" wrap="square" lIns="91440" tIns="45720" rIns="91440" bIns="45720" anchor="t" anchorCtr="0" upright="1">
                              <a:noAutofit/>
                            </wps:bodyPr>
                          </wps:wsp>
                          <wps:wsp>
                            <wps:cNvPr id="479" name="矩形 180"/>
                            <wps:cNvSpPr/>
                            <wps:spPr bwMode="auto">
                              <a:xfrm>
                                <a:off x="42129" y="57"/>
                                <a:ext cx="17183" cy="6005"/>
                              </a:xfrm>
                              <a:prstGeom prst="rect">
                                <a:avLst/>
                              </a:prstGeom>
                              <a:noFill/>
                              <a:ln>
                                <a:noFill/>
                              </a:ln>
                            </wps:spPr>
                            <wps:txb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就业行业</w:t>
                                  </w:r>
                                </w:p>
                              </w:txbxContent>
                            </wps:txbx>
                            <wps:bodyPr rot="0" vert="horz" wrap="square" lIns="91440" tIns="45720" rIns="91440" bIns="45720" anchor="t" anchorCtr="0" upright="1">
                              <a:noAutofit/>
                            </wps:bodyPr>
                          </wps:wsp>
                        </wpg:grpSp>
                        <wpg:grpSp>
                          <wpg:cNvPr id="480" name="组合 181"/>
                          <wpg:cNvGrpSpPr/>
                          <wpg:grpSpPr>
                            <a:xfrm>
                              <a:off x="40071" y="7849"/>
                              <a:ext cx="42316" cy="19646"/>
                              <a:chOff x="40071" y="7849"/>
                              <a:chExt cx="42316" cy="19646"/>
                            </a:xfrm>
                          </wpg:grpSpPr>
                          <wps:wsp>
                            <wps:cNvPr id="481" name="矩形: 圆角 182"/>
                            <wps:cNvSpPr/>
                            <wps:spPr bwMode="auto">
                              <a:xfrm>
                                <a:off x="40153" y="7849"/>
                                <a:ext cx="38784" cy="17045"/>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482" name="矩形 183"/>
                            <wps:cNvSpPr/>
                            <wps:spPr bwMode="auto">
                              <a:xfrm>
                                <a:off x="40071" y="8947"/>
                                <a:ext cx="42316" cy="18548"/>
                              </a:xfrm>
                              <a:prstGeom prst="rect">
                                <a:avLst/>
                              </a:prstGeom>
                              <a:noFill/>
                              <a:ln>
                                <a:noFill/>
                              </a:ln>
                            </wps:spPr>
                            <wps:txbx>
                              <w:txbxContent>
                                <w:p>
                                  <w:pPr>
                                    <w:pStyle w:val="29"/>
                                    <w:spacing w:beforeAutospacing="0" w:after="0" w:afterAutospacing="0"/>
                                    <w:rPr>
                                      <w:rFonts w:ascii="Times New Roman" w:hAnsi="Times New Roman" w:cs="Times New Roman"/>
                                      <w:sz w:val="21"/>
                                      <w:szCs w:val="21"/>
                                    </w:rPr>
                                  </w:pPr>
                                  <w:r>
                                    <w:rPr>
                                      <w:rFonts w:ascii="Times New Roman" w:hAnsi="Times New Roman" w:eastAsia="Calibri" w:cs="Times New Roman"/>
                                      <w:color w:val="000000"/>
                                      <w:sz w:val="21"/>
                                      <w:szCs w:val="21"/>
                                    </w:rPr>
                                    <w:t>卫生和社会工作（25.18%）</w:t>
                                  </w:r>
                                </w:p>
                                <w:p>
                                  <w:pPr>
                                    <w:pStyle w:val="29"/>
                                    <w:spacing w:beforeAutospacing="0" w:after="0" w:afterAutospacing="0"/>
                                    <w:rPr>
                                      <w:sz w:val="21"/>
                                      <w:szCs w:val="21"/>
                                    </w:rPr>
                                  </w:pPr>
                                  <w:r>
                                    <w:rPr>
                                      <w:rFonts w:hint="eastAsia" w:ascii="Calibri" w:eastAsia="Calibri" w:cs="Calibri"/>
                                      <w:color w:val="000000"/>
                                      <w:sz w:val="21"/>
                                      <w:szCs w:val="21"/>
                                    </w:rPr>
                                    <w:t>教育（</w:t>
                                  </w:r>
                                  <w:r>
                                    <w:rPr>
                                      <w:rFonts w:ascii="Times New Roman" w:hAnsi="Times New Roman" w:eastAsia="Calibri" w:cs="Times New Roman"/>
                                      <w:color w:val="000000"/>
                                      <w:sz w:val="21"/>
                                      <w:szCs w:val="21"/>
                                    </w:rPr>
                                    <w:t>18.98%</w:t>
                                  </w:r>
                                  <w:r>
                                    <w:rPr>
                                      <w:rFonts w:hint="eastAsia" w:ascii="Calibri" w:eastAsia="Calibri" w:cs="Calibri"/>
                                      <w:color w:val="000000"/>
                                      <w:sz w:val="21"/>
                                      <w:szCs w:val="21"/>
                                    </w:rPr>
                                    <w:t>）</w:t>
                                  </w:r>
                                </w:p>
                                <w:p>
                                  <w:pPr>
                                    <w:pStyle w:val="29"/>
                                    <w:spacing w:beforeAutospacing="0" w:after="0" w:afterAutospacing="0"/>
                                    <w:rPr>
                                      <w:color w:val="000000"/>
                                      <w:sz w:val="21"/>
                                      <w:szCs w:val="21"/>
                                    </w:rPr>
                                  </w:pPr>
                                  <w:r>
                                    <w:rPr>
                                      <w:rFonts w:hint="eastAsia" w:ascii="Calibri" w:eastAsia="Calibri" w:cs="Calibri"/>
                                      <w:color w:val="000000"/>
                                      <w:sz w:val="21"/>
                                      <w:szCs w:val="21"/>
                                    </w:rPr>
                                    <w:t>制造业（</w:t>
                                  </w:r>
                                  <w:r>
                                    <w:rPr>
                                      <w:rFonts w:ascii="Times New Roman" w:hAnsi="Times New Roman" w:eastAsia="Calibri" w:cs="Times New Roman"/>
                                      <w:color w:val="000000"/>
                                      <w:sz w:val="21"/>
                                      <w:szCs w:val="21"/>
                                    </w:rPr>
                                    <w:t>10.87%</w:t>
                                  </w:r>
                                  <w:r>
                                    <w:rPr>
                                      <w:rFonts w:hint="eastAsia" w:ascii="Calibri" w:eastAsia="Calibri" w:cs="Calibri"/>
                                      <w:color w:val="000000"/>
                                      <w:sz w:val="21"/>
                                      <w:szCs w:val="21"/>
                                    </w:rPr>
                                    <w:t>）</w:t>
                                  </w:r>
                                </w:p>
                              </w:txbxContent>
                            </wps:txbx>
                            <wps:bodyPr rot="0" vert="horz" wrap="square" lIns="91440" tIns="45720" rIns="91440" bIns="45720" anchor="t" anchorCtr="0" upright="1">
                              <a:noAutofit/>
                            </wps:bodyPr>
                          </wps:wsp>
                        </wpg:grpSp>
                      </wpg:grpSp>
                      <wpg:grpSp>
                        <wpg:cNvPr id="483" name="组合 184"/>
                        <wpg:cNvGrpSpPr/>
                        <wpg:grpSpPr>
                          <a:xfrm>
                            <a:off x="0" y="28011"/>
                            <a:ext cx="38997" cy="28770"/>
                            <a:chOff x="0" y="28011"/>
                            <a:chExt cx="38997" cy="28770"/>
                          </a:xfrm>
                        </wpg:grpSpPr>
                        <wpg:grpSp>
                          <wpg:cNvPr id="484" name="组合 185"/>
                          <wpg:cNvGrpSpPr/>
                          <wpg:grpSpPr>
                            <a:xfrm>
                              <a:off x="0" y="28011"/>
                              <a:ext cx="38783" cy="6464"/>
                              <a:chOff x="0" y="28011"/>
                              <a:chExt cx="20968" cy="6463"/>
                            </a:xfrm>
                          </wpg:grpSpPr>
                          <wps:wsp>
                            <wps:cNvPr id="485" name="矩形: 圆角 186"/>
                            <wps:cNvSpPr/>
                            <wps:spPr bwMode="auto">
                              <a:xfrm>
                                <a:off x="0" y="28011"/>
                                <a:ext cx="20968" cy="6464"/>
                              </a:xfrm>
                              <a:prstGeom prst="roundRect">
                                <a:avLst>
                                  <a:gd name="adj" fmla="val 50000"/>
                                </a:avLst>
                              </a:prstGeom>
                              <a:solidFill>
                                <a:srgbClr val="4EB389"/>
                              </a:solidFill>
                              <a:ln>
                                <a:noFill/>
                              </a:ln>
                            </wps:spPr>
                            <wps:bodyPr rot="0" vert="horz" wrap="square" lIns="91440" tIns="45720" rIns="91440" bIns="45720" anchor="t" anchorCtr="0" upright="1">
                              <a:noAutofit/>
                            </wps:bodyPr>
                          </wps:wsp>
                          <wps:wsp>
                            <wps:cNvPr id="486" name="矩形 187"/>
                            <wps:cNvSpPr/>
                            <wps:spPr bwMode="auto">
                              <a:xfrm>
                                <a:off x="1390" y="28244"/>
                                <a:ext cx="17183" cy="5589"/>
                              </a:xfrm>
                              <a:prstGeom prst="rect">
                                <a:avLst/>
                              </a:prstGeom>
                              <a:noFill/>
                              <a:ln>
                                <a:noFill/>
                              </a:ln>
                            </wps:spPr>
                            <wps:txb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就业职业</w:t>
                                  </w:r>
                                </w:p>
                              </w:txbxContent>
                            </wps:txbx>
                            <wps:bodyPr rot="0" vert="horz" wrap="square" lIns="91440" tIns="45720" rIns="91440" bIns="45720" anchor="t" anchorCtr="0" upright="1">
                              <a:noAutofit/>
                            </wps:bodyPr>
                          </wps:wsp>
                        </wpg:grpSp>
                        <wpg:grpSp>
                          <wpg:cNvPr id="487" name="组合 188"/>
                          <wpg:cNvGrpSpPr/>
                          <wpg:grpSpPr>
                            <a:xfrm>
                              <a:off x="214" y="36151"/>
                              <a:ext cx="38783" cy="20630"/>
                              <a:chOff x="214" y="36151"/>
                              <a:chExt cx="38783" cy="20630"/>
                            </a:xfrm>
                          </wpg:grpSpPr>
                          <wps:wsp>
                            <wps:cNvPr id="488" name="矩形: 圆角 189"/>
                            <wps:cNvSpPr/>
                            <wps:spPr bwMode="auto">
                              <a:xfrm>
                                <a:off x="214" y="36151"/>
                                <a:ext cx="38783" cy="18848"/>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489" name="矩形 448"/>
                            <wps:cNvSpPr/>
                            <wps:spPr bwMode="auto">
                              <a:xfrm>
                                <a:off x="1261" y="37590"/>
                                <a:ext cx="36417" cy="19191"/>
                              </a:xfrm>
                              <a:prstGeom prst="rect">
                                <a:avLst/>
                              </a:prstGeom>
                              <a:noFill/>
                              <a:ln>
                                <a:noFill/>
                              </a:ln>
                            </wps:spPr>
                            <wps:txbx>
                              <w:txbxContent>
                                <w:p>
                                  <w:pPr>
                                    <w:pStyle w:val="29"/>
                                    <w:spacing w:beforeAutospacing="0" w:after="0" w:afterAutospacing="0"/>
                                    <w:rPr>
                                      <w:rFonts w:ascii="Times New Roman" w:hAnsi="Times New Roman" w:eastAsia="Calibri" w:cs="Times New Roman"/>
                                      <w:color w:val="000000"/>
                                      <w:sz w:val="21"/>
                                      <w:szCs w:val="21"/>
                                    </w:rPr>
                                  </w:pPr>
                                  <w:r>
                                    <w:rPr>
                                      <w:rFonts w:ascii="Times New Roman" w:hAnsi="Times New Roman" w:eastAsia="Calibri" w:cs="Times New Roman"/>
                                      <w:color w:val="000000"/>
                                      <w:sz w:val="21"/>
                                      <w:szCs w:val="21"/>
                                    </w:rPr>
                                    <w:t>其他人员（28.07%）</w:t>
                                  </w:r>
                                </w:p>
                                <w:p>
                                  <w:pPr>
                                    <w:pStyle w:val="29"/>
                                    <w:spacing w:beforeAutospacing="0" w:after="0" w:afterAutospacing="0"/>
                                    <w:rPr>
                                      <w:rFonts w:ascii="Calibri" w:eastAsia="Calibri" w:cs="Calibri"/>
                                      <w:color w:val="000000"/>
                                      <w:sz w:val="21"/>
                                      <w:szCs w:val="21"/>
                                    </w:rPr>
                                  </w:pPr>
                                  <w:r>
                                    <w:rPr>
                                      <w:rFonts w:hint="eastAsia" w:ascii="Calibri" w:eastAsia="Calibri" w:cs="Calibri"/>
                                      <w:color w:val="000000"/>
                                      <w:sz w:val="21"/>
                                      <w:szCs w:val="21"/>
                                    </w:rPr>
                                    <w:t>卫生专业技术人员（</w:t>
                                  </w:r>
                                  <w:r>
                                    <w:rPr>
                                      <w:rFonts w:ascii="Times New Roman" w:hAnsi="Times New Roman" w:eastAsia="Calibri" w:cs="Times New Roman"/>
                                      <w:color w:val="000000"/>
                                      <w:sz w:val="21"/>
                                      <w:szCs w:val="21"/>
                                    </w:rPr>
                                    <w:t>20.73%</w:t>
                                  </w:r>
                                  <w:r>
                                    <w:rPr>
                                      <w:rFonts w:hint="eastAsia" w:ascii="Calibri" w:eastAsia="Calibri" w:cs="Calibri"/>
                                      <w:color w:val="000000"/>
                                      <w:sz w:val="21"/>
                                      <w:szCs w:val="21"/>
                                    </w:rPr>
                                    <w:t>）</w:t>
                                  </w:r>
                                </w:p>
                                <w:p>
                                  <w:pPr>
                                    <w:pStyle w:val="29"/>
                                    <w:spacing w:beforeAutospacing="0" w:after="0" w:afterAutospacing="0"/>
                                    <w:rPr>
                                      <w:rFonts w:ascii="Calibri" w:cs="Calibri"/>
                                      <w:color w:val="000000"/>
                                      <w:sz w:val="21"/>
                                      <w:szCs w:val="21"/>
                                    </w:rPr>
                                  </w:pPr>
                                  <w:r>
                                    <w:rPr>
                                      <w:rFonts w:hint="eastAsia" w:ascii="Calibri" w:eastAsia="Calibri" w:cs="Calibri"/>
                                      <w:color w:val="000000"/>
                                      <w:sz w:val="21"/>
                                      <w:szCs w:val="21"/>
                                    </w:rPr>
                                    <w:t>教学人员（</w:t>
                                  </w:r>
                                  <w:r>
                                    <w:rPr>
                                      <w:rFonts w:ascii="Times New Roman" w:hAnsi="Times New Roman" w:eastAsia="Calibri" w:cs="Times New Roman"/>
                                      <w:color w:val="000000"/>
                                      <w:sz w:val="21"/>
                                      <w:szCs w:val="21"/>
                                    </w:rPr>
                                    <w:t>16.38%</w:t>
                                  </w:r>
                                  <w:r>
                                    <w:rPr>
                                      <w:rFonts w:hint="eastAsia" w:ascii="Calibri" w:eastAsia="Calibri" w:cs="Calibri"/>
                                      <w:color w:val="000000"/>
                                      <w:sz w:val="21"/>
                                      <w:szCs w:val="21"/>
                                    </w:rPr>
                                    <w:t>）</w:t>
                                  </w:r>
                                </w:p>
                              </w:txbxContent>
                            </wps:txbx>
                            <wps:bodyPr rot="0" vert="horz" wrap="square" lIns="91440" tIns="45720" rIns="91440" bIns="45720" anchor="t" anchorCtr="0" upright="1">
                              <a:noAutofit/>
                            </wps:bodyPr>
                          </wps:wsp>
                        </wpg:grpSp>
                      </wpg:grpSp>
                      <wpg:grpSp>
                        <wpg:cNvPr id="490" name="组合 449"/>
                        <wpg:cNvGrpSpPr/>
                        <wpg:grpSpPr>
                          <a:xfrm>
                            <a:off x="40153" y="27498"/>
                            <a:ext cx="38784" cy="28943"/>
                            <a:chOff x="40153" y="27498"/>
                            <a:chExt cx="38783" cy="28942"/>
                          </a:xfrm>
                        </wpg:grpSpPr>
                        <wpg:grpSp>
                          <wpg:cNvPr id="491" name="组合 450"/>
                          <wpg:cNvGrpSpPr/>
                          <wpg:grpSpPr>
                            <a:xfrm>
                              <a:off x="40154" y="27498"/>
                              <a:ext cx="38783" cy="6464"/>
                              <a:chOff x="40117" y="27498"/>
                              <a:chExt cx="20968" cy="6463"/>
                            </a:xfrm>
                          </wpg:grpSpPr>
                          <wps:wsp>
                            <wps:cNvPr id="492" name="矩形: 圆角 451"/>
                            <wps:cNvSpPr/>
                            <wps:spPr bwMode="auto">
                              <a:xfrm>
                                <a:off x="40117" y="27498"/>
                                <a:ext cx="20968" cy="6464"/>
                              </a:xfrm>
                              <a:prstGeom prst="roundRect">
                                <a:avLst>
                                  <a:gd name="adj" fmla="val 50000"/>
                                </a:avLst>
                              </a:prstGeom>
                              <a:solidFill>
                                <a:srgbClr val="36AFB8"/>
                              </a:solidFill>
                              <a:ln>
                                <a:noFill/>
                              </a:ln>
                            </wps:spPr>
                            <wps:bodyPr rot="0" vert="horz" wrap="square" lIns="91440" tIns="45720" rIns="91440" bIns="45720" anchor="t" anchorCtr="0" upright="1">
                              <a:noAutofit/>
                            </wps:bodyPr>
                          </wps:wsp>
                          <wps:wsp>
                            <wps:cNvPr id="493" name="矩形 452"/>
                            <wps:cNvSpPr/>
                            <wps:spPr bwMode="auto">
                              <a:xfrm>
                                <a:off x="41974" y="27729"/>
                                <a:ext cx="17186" cy="5218"/>
                              </a:xfrm>
                              <a:prstGeom prst="rect">
                                <a:avLst/>
                              </a:prstGeom>
                              <a:noFill/>
                              <a:ln>
                                <a:noFill/>
                              </a:ln>
                            </wps:spPr>
                            <wps:txb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就业单位</w:t>
                                  </w:r>
                                </w:p>
                              </w:txbxContent>
                            </wps:txbx>
                            <wps:bodyPr rot="0" vert="horz" wrap="square" lIns="91440" tIns="45720" rIns="91440" bIns="45720" anchor="t" anchorCtr="0" upright="1">
                              <a:noAutofit/>
                            </wps:bodyPr>
                          </wps:wsp>
                        </wpg:grpSp>
                        <wpg:grpSp>
                          <wpg:cNvPr id="494" name="组合 453"/>
                          <wpg:cNvGrpSpPr/>
                          <wpg:grpSpPr>
                            <a:xfrm>
                              <a:off x="40153" y="36218"/>
                              <a:ext cx="38784" cy="20223"/>
                              <a:chOff x="40153" y="36218"/>
                              <a:chExt cx="38783" cy="20222"/>
                            </a:xfrm>
                          </wpg:grpSpPr>
                          <wps:wsp>
                            <wps:cNvPr id="495" name="矩形: 圆角 454"/>
                            <wps:cNvSpPr/>
                            <wps:spPr bwMode="auto">
                              <a:xfrm>
                                <a:off x="40153" y="36218"/>
                                <a:ext cx="38784" cy="18778"/>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496" name="矩形 455"/>
                            <wps:cNvSpPr/>
                            <wps:spPr bwMode="auto">
                              <a:xfrm>
                                <a:off x="41335" y="37590"/>
                                <a:ext cx="36417" cy="18851"/>
                              </a:xfrm>
                              <a:prstGeom prst="rect">
                                <a:avLst/>
                              </a:prstGeom>
                              <a:noFill/>
                              <a:ln>
                                <a:noFill/>
                              </a:ln>
                            </wps:spPr>
                            <wps:txbx>
                              <w:txbxContent>
                                <w:p>
                                  <w:pPr>
                                    <w:pStyle w:val="29"/>
                                    <w:spacing w:beforeAutospacing="0" w:after="0" w:afterAutospacing="0"/>
                                    <w:rPr>
                                      <w:rFonts w:ascii="Times New Roman" w:hAnsi="Times New Roman" w:cs="Times New Roman"/>
                                      <w:sz w:val="21"/>
                                      <w:szCs w:val="21"/>
                                    </w:rPr>
                                  </w:pPr>
                                  <w:r>
                                    <w:rPr>
                                      <w:rFonts w:ascii="Times New Roman" w:hAnsi="Times New Roman" w:eastAsia="Calibri" w:cs="Times New Roman"/>
                                      <w:color w:val="000000"/>
                                      <w:sz w:val="21"/>
                                      <w:szCs w:val="21"/>
                                    </w:rPr>
                                    <w:t>其他企业（68.18%）</w:t>
                                  </w:r>
                                </w:p>
                                <w:p>
                                  <w:pPr>
                                    <w:pStyle w:val="29"/>
                                    <w:spacing w:beforeAutospacing="0" w:after="0" w:afterAutospacing="0"/>
                                    <w:rPr>
                                      <w:sz w:val="21"/>
                                      <w:szCs w:val="21"/>
                                    </w:rPr>
                                  </w:pPr>
                                  <w:r>
                                    <w:rPr>
                                      <w:rFonts w:hint="eastAsia" w:ascii="Calibri" w:eastAsia="Calibri" w:cs="Calibri"/>
                                      <w:color w:val="000000"/>
                                      <w:sz w:val="21"/>
                                      <w:szCs w:val="21"/>
                                    </w:rPr>
                                    <w:t>医疗卫生单位（</w:t>
                                  </w:r>
                                  <w:r>
                                    <w:rPr>
                                      <w:rFonts w:ascii="Times New Roman" w:hAnsi="Times New Roman" w:eastAsia="Calibri" w:cs="Times New Roman"/>
                                      <w:color w:val="000000"/>
                                      <w:sz w:val="21"/>
                                      <w:szCs w:val="21"/>
                                    </w:rPr>
                                    <w:t>11.68%</w:t>
                                  </w:r>
                                  <w:r>
                                    <w:rPr>
                                      <w:rFonts w:hint="eastAsia" w:ascii="Calibri" w:eastAsia="Calibri" w:cs="Calibri"/>
                                      <w:color w:val="000000"/>
                                      <w:sz w:val="21"/>
                                      <w:szCs w:val="21"/>
                                    </w:rPr>
                                    <w:t>）</w:t>
                                  </w:r>
                                </w:p>
                                <w:p>
                                  <w:pPr>
                                    <w:pStyle w:val="29"/>
                                    <w:spacing w:beforeAutospacing="0" w:after="0" w:afterAutospacing="0"/>
                                    <w:rPr>
                                      <w:rFonts w:ascii="Calibri" w:cs="Calibri"/>
                                      <w:color w:val="000000"/>
                                      <w:sz w:val="21"/>
                                      <w:szCs w:val="21"/>
                                    </w:rPr>
                                  </w:pPr>
                                  <w:r>
                                    <w:rPr>
                                      <w:rFonts w:hint="eastAsia" w:ascii="Calibri" w:eastAsia="Calibri" w:cs="Calibri"/>
                                      <w:color w:val="000000"/>
                                      <w:sz w:val="21"/>
                                      <w:szCs w:val="21"/>
                                    </w:rPr>
                                    <w:t>中初教育单位（</w:t>
                                  </w:r>
                                  <w:r>
                                    <w:rPr>
                                      <w:rFonts w:ascii="Times New Roman" w:hAnsi="Times New Roman" w:eastAsia="Calibri" w:cs="Times New Roman"/>
                                      <w:color w:val="000000"/>
                                      <w:sz w:val="21"/>
                                      <w:szCs w:val="21"/>
                                    </w:rPr>
                                    <w:t>7.23%</w:t>
                                  </w:r>
                                  <w:r>
                                    <w:rPr>
                                      <w:rFonts w:hint="eastAsia" w:ascii="Calibri" w:eastAsia="Calibri" w:cs="Calibri"/>
                                      <w:color w:val="000000"/>
                                      <w:sz w:val="21"/>
                                      <w:szCs w:val="21"/>
                                    </w:rPr>
                                    <w:t>）</w:t>
                                  </w:r>
                                </w:p>
                              </w:txbxContent>
                            </wps:txbx>
                            <wps:bodyPr rot="0" vert="horz" wrap="square" lIns="91440" tIns="45720" rIns="91440" bIns="45720" anchor="t" anchorCtr="0" upright="1">
                              <a:noAutofit/>
                            </wps:bodyPr>
                          </wps:wsp>
                        </wpg:grpSp>
                      </wpg:grpSp>
                    </wpg:wgp>
                  </a:graphicData>
                </a:graphic>
              </wp:inline>
            </w:drawing>
          </mc:Choice>
          <mc:Fallback>
            <w:pict>
              <v:group id="组合 35" o:spid="_x0000_s1026" o:spt="203" style="height:220.7pt;width:400pt;" coordsize="82387,56781" o:gfxdata="UEsDBAoAAAAAAIdO4kAAAAAAAAAAAAAAAAAEAAAAZHJzL1BLAwQUAAAACACHTuJAnSb619UAAAAF&#10;AQAADwAAAGRycy9kb3ducmV2LnhtbE2PQUvDQBCF74L/YRnBm91djVLSbIoU9VQEW0F622anSWh2&#10;NmS3SfvvHb3o5cHjDe99UyzPvhMjDrENZEDPFAikKriWagOf29e7OYiYLDnbBUIDF4ywLK+vCpu7&#10;MNEHjptUCy6hmFsDTUp9LmWsGvQ2zkKPxNkhDN4mtkMt3WAnLvedvFfqSXrbEi80tsdVg9Vxc/IG&#10;3iY7PT/ol3F9PKwuu+3j+9daozG3N1otQCQ8p79j+MFndCiZaR9O5KLoDPAj6Vc5myvFdm8gy3QG&#10;sizkf/ryG1BLAwQUAAAACACHTuJAcxNiFeIGAAB8NAAADgAAAGRycy9lMm9Eb2MueG1s7VvLjqNG&#10;FN1Hyj8g9mlTUDw17tFMT/coUh6tTPIBNMY2EQYCdLsn6yjKMso6UqRsonxDlM9pJZ+RWy+Kh3Hb&#10;OM1MImbRA4Zbpk7de07de/Gz5/ebWLkL8yJKk7mKzjRVCZMgXUTJaq5+9eXVR46qFKWfLPw4TcK5&#10;+jYs1OfnH37wbJt5oZ6u03gR5goMkhTeNpur67LMvNmsCNbhxi/O0ixM4OIyzTd+Caf5arbI/S2M&#10;volnuqZZs22aL7I8DcKigE9fsYsqHzE/ZMB0uYyC8FUa3G7CpGSj5mHslzClYh1lhXpOn3a5DIPy&#10;8+WyCEslnqsw05L+hS+B4xvyd3b+zPdWuZ+to4A/gn/II7TmtPGjBL60GuqVX/rKbR51htpEQZ4W&#10;6bI8C9LNjE2EIgKzQFoLm9d5epvRuay87SqrQIeFaqE+eNjgs7vrXIkWcxVbtqok/gaW/K8/vnv4&#10;8QfFMAk822zlwV2v8+xNdp3zD1bsjMz4fplvyP8wF+WeAvu2Aja8L5UAPjQ1R4N/qhLANd3RdMfl&#10;0AdrWJ+OXbC+5JaObjjwXMTOtGwHkSeaiS+dkWerHqU6eWqcIEAaOLnOv4UTzNUxOEo2din+vvcY&#10;Rrus3jVGbhsj9wkwsrBlkGEfh0jXXAuWjbiRMOpFCGitkLFWnBZrb9Z+FtIQLkgUiVizIRa4D/3y&#10;+8Ofv3rKw8/f//3bTwqCKKExRm+vIq7wCgg+5Wb7abqAAPVvy5TSzSHBt2/uvpflRfk6TDcKOZir&#10;wDjJ4gugTTq8f/dJUVJaW/DH9Rdfq8pyEwNJ3vmxYtKwZjHJbwZcxZjEskjjaHEVxTE9yVc3F3Gu&#10;gOlcvbxyNGyR2YJJ47Y4ITcnKTFjl8knEO0MBsJJhXeTLt4CJHnKOB0UDQ7Waf6tqmyBz+dq8c2t&#10;n4eqEn+cwCK6CGMiAPQEm7YOJ3n9yk39ip8EMNRcLVWFHV6UTDRuszxareGbEAUoSV/AUiyjkjym&#10;fCp+An7EnnUEh0JNh1KQTbmSPBP43bGOhBwXBiSka7MAE0wOwwqGsrAmVk+4oVh44UwNP2IrKW5p&#10;rLDvHbTk5f3NPYwicX7/V19KFFNSqlZPLFC2XvkCE3IEn1DcBii57WBK3b4nXKAmN8gFNmUO0hIp&#10;aSa1fJfhu2Vh0NrdLGzzrc+g4AFmgciRCOwCztYw/Ypq/pI1RfAcx8TIsmADx2LsaCa2L61LEcsT&#10;Ex+4O++Tdtx0KmBiCu1QJtYtxsSOi1tcbFgY8b0xckxMd6F7/Gki4zoZ14/HyhyAVQTfCGKmS3pk&#10;ioU1DcSdcAxPogTBYN1AVn/60LGT1LzLsnIlCdV1PqKKtdNRZA/Js7CGTIjILlg1NRIpQS2P6JhJ&#10;rPbtp9tQjZJLyHy0lUvYPOkapGIdBISX7Zv/qSp2Sj5xdXlh4wsugZOKnahiMoGnTqUg55TEFOtI&#10;hxEfSSg07bE90aRhkmHGo2JY+pZusULcYN3q7o1rArQrqZDSJU0lI+8y7lWvMSgZ4BGAtSjZ4ZnY&#10;YEqGlKU3uQCdIxUuNCUX/9cyD7hPw7GAlmkFdGByIcOqm13Ug2rKLg4o9NWZuX48VnZB6nKNvgRy&#10;8OCyDzRpEC0g1us+rsvTTd2xoYINxYbajplVPWp2kp8Np2vZy8+8o/PENTKApg0WL/kMqJHVJi02&#10;yc3sgq7DYVjt211Lr2KJ2ChSJnPWtpSdUtboeIsArjl/ClzlKu8yu8CXL8GNp+zi7KhWc0+NzIEq&#10;Rb3wCjLGCyGD9kXIgHYy2Rbpjo55rAl/qjUsTLNawKlh0deukhwzYn7RKfU4Q0o9OmKFHsNCZke7&#10;ZGNds4y2du2wrKtX17aiJAnXiJTcW/Bh/j1wM7gDBBFENTVDjvNopXnqXJDu8n+uhwze02RlzFZ6&#10;oD8h0bkwbFO87lM5VK114SLoNbPG1UTLh9Cy5JzxKJoIbCO5wKwtfHQJCJmsgqHD+02U5OsJBhR3&#10;ePsC8tH2qz2kIN2x3U3TYE3rLL00PU6SQd6haIJm8iLqUUmGrMT3gAao8Deb2okGmJIWIdkaSbwl&#10;Zs3NNgW8F7Ixkg23Vd6oXovCTNAHMtFOFAQVNTF4fxIOw3px9VL0dKd2xmntDFfWRlg7A5snFWKR&#10;a7O9pm7b0NiglRDhUCTj4F1YU0diBSdpO0TaxqqVue3yDwZpgVUcLGeGxZd6t5xput4vZzVbSc21&#10;LbcO1vvlbBRu7isEYeivU+gG5e5S1WswiFAiIPAdAVQIWP+/EqhTq0HTG1PvyburbrsahM1TXr/D&#10;yIBfLpA9zyOJh+OwXcUej5r6zfVko3MMP0qhb2/zH9CQX73Uz+lr0PJHQ+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AJAABbQ29udGVudF9U&#10;eXBlc10ueG1sUEsBAhQACgAAAAAAh07iQAAAAAAAAAAAAAAAAAYAAAAAAAAAAAAQAAAAMggAAF9y&#10;ZWxzL1BLAQIUABQAAAAIAIdO4kCKFGY80QAAAJQBAAALAAAAAAAAAAEAIAAAAFYIAABfcmVscy8u&#10;cmVsc1BLAQIUAAoAAAAAAIdO4kAAAAAAAAAAAAAAAAAEAAAAAAAAAAAAEAAAAAAAAABkcnMvUEsB&#10;AhQAFAAAAAgAh07iQJ0m+tfVAAAABQEAAA8AAAAAAAAAAQAgAAAAIgAAAGRycy9kb3ducmV2Lnht&#10;bFBLAQIUABQAAAAIAIdO4kBzE2IV4gYAAHw0AAAOAAAAAAAAAAEAIAAAACQBAABkcnMvZTJvRG9j&#10;LnhtbFBLBQYAAAAABgAGAFkBAAB4CgAAAAA=&#10;">
                <o:lock v:ext="edit" aspectratio="f"/>
                <v:group id="组合 98" o:spid="_x0000_s1026" o:spt="203" style="position:absolute;left:0;top:0;height:27495;width:38783;" coordsize="38783,27495"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group id="组合 99" o:spid="_x0000_s1026" o:spt="203" style="position:absolute;left:0;top:0;height:6463;width:38783;" coordsize="20968,6463" o:gfxdata="UEsDBAoAAAAAAIdO4kAAAAAAAAAAAAAAAAAEAAAAZHJzL1BLAwQUAAAACACHTuJArBFyaL8AAADc&#10;AAAADwAAAGRycy9kb3ducmV2LnhtbEWPT4vCMBTE74LfITzB25p2XUWrUUR2Fw8i+AfE26N5tsXm&#10;pTTZVr+9ERY8DjPzG2a+vJtSNFS7wrKCeBCBIE6tLjhTcDr+fExAOI+ssbRMCh7kYLnoduaYaNvy&#10;npqDz0SAsEtQQe59lUjp0pwMuoGtiIN3tbVBH2SdSV1jG+CmlJ9RNJYGCw4LOVa0zim9Hf6Mgt8W&#10;29Uw/m62t+v6cTmOdudtTEr1e3E0A+Hp7t/h//ZGK/gaT+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EXJovwAAANwAAAAPAAAAAAAAAAEAIAAAACIAAABkcnMvZG93bnJldi54&#10;bWxQSwECFAAUAAAACACHTuJAMy8FnjsAAAA5AAAAFQAAAAAAAAABACAAAAAOAQAAZHJzL2dyb3Vw&#10;c2hhcGV4bWwueG1sUEsFBgAAAAAGAAYAYAEAAMsDAAAAAA==&#10;">
                    <o:lock v:ext="edit" aspectratio="f"/>
                    <v:roundrect id="矩形: 圆角 100" o:spid="_x0000_s1026" o:spt="2" style="position:absolute;left:0;top:0;height:6463;width:20968;" fillcolor="#EF8046" filled="t" stroked="f" coordsize="21600,21600" arcsize="0.5" o:gfxdata="UEsDBAoAAAAAAIdO4kAAAAAAAAAAAAAAAAAEAAAAZHJzL1BLAwQUAAAACACHTuJAL8Dk37sAAADc&#10;AAAADwAAAGRycy9kb3ducmV2LnhtbEVPy4rCMBTdD/gP4QqzGxNlcLQaBQXBQQRfC5fX5toWm5vS&#10;ZKr1681CmOXhvKfzhy1FQ7UvHGvo9xQI4tSZgjMNp+PqawTCB2SDpWPS0JKH+azzMcXEuDvvqTmE&#10;TMQQ9glqyEOoEil9mpNF33MVceSurrYYIqwzaWq8x3BbyoFSQ2mx4NiQY0XLnNLb4c9qqJ7blp/u&#10;d3cZb8brVaPOctE6rT+7fTUBEegR/sVv99po+P6J8+OZeAT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Dk37sAAADc&#10;AAAADwAAAAAAAAABACAAAAAiAAAAZHJzL2Rvd25yZXYueG1sUEsBAhQAFAAAAAgAh07iQDMvBZ47&#10;AAAAOQAAABAAAAAAAAAAAQAgAAAACgEAAGRycy9zaGFwZXhtbC54bWxQSwUGAAAAAAYABgBbAQAA&#10;tAMAAAAA&#10;">
                      <v:fill on="t" focussize="0,0"/>
                      <v:stroke on="f"/>
                      <v:imagedata o:title=""/>
                      <o:lock v:ext="edit" aspectratio="f"/>
                    </v:roundrect>
                    <v:rect id="矩形 171" o:spid="_x0000_s1026" o:spt="1" style="position:absolute;left:1891;top:57;height:6406;width:17183;" filled="f" stroked="f" coordsize="21600,21600" o:gfxdata="UEsDBAoAAAAAAIdO4kAAAAAAAAAAAAAAAAAEAAAAZHJzL1BLAwQUAAAACACHTuJAsgjp/b8AAADc&#10;AAAADwAAAGRycy9kb3ducmV2LnhtbEWPQWvCQBSE74X+h+UVeim6iYiVmI0HoTSUghir50f2NQnN&#10;vo3ZNbH/3hUEj8PMfMOk64tpxUC9aywriKcRCOLS6oYrBT/7j8kShPPIGlvLpOCfHKyz56cUE21H&#10;3tFQ+EoECLsEFdTed4mUrqzJoJvajjh4v7Y36IPsK6l7HAPctHIWRQtpsOGwUGNHm5rKv+JsFIzl&#10;djjuvz/l9u2YWz7lp01x+FLq9SWOViA8XfwjfG/nWsH8PY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I6f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就业地区</w:t>
                            </w:r>
                          </w:p>
                        </w:txbxContent>
                      </v:textbox>
                    </v:rect>
                  </v:group>
                  <v:group id="组合 172" o:spid="_x0000_s1026" o:spt="203" style="position:absolute;left:0;top:7849;height:19646;width:38783;" coordorigin="0,7849" coordsize="38783,19646"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roundrect id="矩形: 圆角 175" o:spid="_x0000_s1026" o:spt="2" style="position:absolute;left:0;top:7849;height:17045;width:38783;" fillcolor="#E7E6E6" filled="t" stroked="f" coordsize="21600,21600" arcsize="0.166666666666667" o:gfxdata="UEsDBAoAAAAAAIdO4kAAAAAAAAAAAAAAAAAEAAAAZHJzL1BLAwQUAAAACACHTuJAuTIvz78AAADc&#10;AAAADwAAAGRycy9kb3ducmV2LnhtbEWPzW7CMBCE75V4B2uReqnABgpFAcMB2qoXioA+wCpekoh4&#10;HeItP29fV6rU42hmvtHMlzdfqwu1sQpsYdA3oIjz4CouLHwd3npTUFGQHdaBycKdIiwXnYc5Zi5c&#10;eUeXvRQqQThmaKEUaTKtY16Sx9gPDXHyjqH1KEm2hXYtXhPc13pozER7rDgtlNjQqqT8tP/2Fqp3&#10;Ga7ryfbp07yKPsu5GbvN2NrH7sDMQAnd5D/81/5wFp5fRvB7Jh0B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yL8+/&#10;AAAA3AAAAA8AAAAAAAAAAQAgAAAAIgAAAGRycy9kb3ducmV2LnhtbFBLAQIUABQAAAAIAIdO4kAz&#10;LwWeOwAAADkAAAAQAAAAAAAAAAEAIAAAAA4BAABkcnMvc2hhcGV4bWwueG1sUEsFBgAAAAAGAAYA&#10;WwEAALgDAAAAAA==&#10;">
                      <v:fill on="t" focussize="0,0"/>
                      <v:stroke on="f"/>
                      <v:imagedata o:title=""/>
                      <o:lock v:ext="edit" aspectratio="f"/>
                    </v:roundrect>
                    <v:rect id="矩形 176" o:spid="_x0000_s1026" o:spt="1" style="position:absolute;left:1261;top:8947;height:18548;width:36417;" filled="f" stroked="f" coordsize="21600,21600" o:gfxdata="UEsDBAoAAAAAAIdO4kAAAAAAAAAAAAAAAAAEAAAAZHJzL1BLAwQUAAAACACHTuJAon9KZb8AAADc&#10;AAAADwAAAGRycy9kb3ducmV2LnhtbEWPQWvCQBSE70L/w/IKvYhuUkQldfUglIYiiEmb8yP7moRm&#10;38bsNkn/vVsoeBxm5htmd5hMKwbqXWNZQbyMQBCXVjdcKfjIXxdbEM4ja2wtk4JfcnDYP8x2mGg7&#10;8oWGzFciQNglqKD2vkukdGVNBt3SdsTB+7K9QR9kX0nd4xjgppXPUbSWBhsOCzV2dKyp/M5+jIKx&#10;PA9FfnqT53mRWr6m12P2+a7U02McvYDwNPl7+L+dagWrz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mW/&#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9"/>
                              <w:spacing w:beforeAutospacing="0" w:after="0" w:afterAutospacing="0"/>
                              <w:rPr>
                                <w:rFonts w:ascii="Times New Roman" w:hAnsi="Times New Roman" w:cs="Times New Roman"/>
                                <w:sz w:val="21"/>
                                <w:szCs w:val="21"/>
                              </w:rPr>
                            </w:pPr>
                            <w:r>
                              <w:rPr>
                                <w:rFonts w:ascii="Times New Roman" w:hAnsi="Times New Roman" w:eastAsia="Calibri" w:cs="Times New Roman"/>
                                <w:color w:val="000000"/>
                                <w:sz w:val="21"/>
                                <w:szCs w:val="21"/>
                              </w:rPr>
                              <w:t>湖北省（57.36%）</w:t>
                            </w:r>
                          </w:p>
                          <w:p>
                            <w:pPr>
                              <w:pStyle w:val="29"/>
                              <w:spacing w:beforeAutospacing="0" w:after="0" w:afterAutospacing="0"/>
                              <w:rPr>
                                <w:sz w:val="21"/>
                                <w:szCs w:val="21"/>
                              </w:rPr>
                            </w:pPr>
                            <w:r>
                              <w:rPr>
                                <w:rFonts w:hint="eastAsia" w:ascii="Calibri" w:eastAsia="Calibri" w:cs="Calibri"/>
                                <w:color w:val="000000"/>
                                <w:sz w:val="21"/>
                                <w:szCs w:val="21"/>
                              </w:rPr>
                              <w:t>广东省（</w:t>
                            </w:r>
                            <w:r>
                              <w:rPr>
                                <w:rFonts w:ascii="Times New Roman" w:hAnsi="Times New Roman" w:eastAsia="Calibri" w:cs="Times New Roman"/>
                                <w:color w:val="000000"/>
                                <w:sz w:val="21"/>
                                <w:szCs w:val="21"/>
                              </w:rPr>
                              <w:t>8.34%</w:t>
                            </w:r>
                            <w:r>
                              <w:rPr>
                                <w:rFonts w:hint="eastAsia" w:ascii="Calibri" w:eastAsia="Calibri" w:cs="Calibri"/>
                                <w:color w:val="000000"/>
                                <w:sz w:val="21"/>
                                <w:szCs w:val="21"/>
                              </w:rPr>
                              <w:t>）</w:t>
                            </w:r>
                          </w:p>
                          <w:p>
                            <w:pPr>
                              <w:pStyle w:val="29"/>
                              <w:spacing w:beforeAutospacing="0" w:after="0" w:afterAutospacing="0"/>
                              <w:rPr>
                                <w:rFonts w:ascii="Calibri" w:cs="Calibri"/>
                                <w:color w:val="000000"/>
                                <w:sz w:val="21"/>
                                <w:szCs w:val="21"/>
                              </w:rPr>
                            </w:pPr>
                            <w:r>
                              <w:rPr>
                                <w:rFonts w:hint="eastAsia" w:ascii="Calibri" w:eastAsia="Calibri" w:cs="Calibri"/>
                                <w:color w:val="000000"/>
                                <w:sz w:val="21"/>
                                <w:szCs w:val="21"/>
                              </w:rPr>
                              <w:t>浙江省（</w:t>
                            </w:r>
                            <w:r>
                              <w:rPr>
                                <w:rFonts w:ascii="Times New Roman" w:hAnsi="Times New Roman" w:eastAsia="Calibri" w:cs="Times New Roman"/>
                                <w:color w:val="000000"/>
                                <w:sz w:val="21"/>
                                <w:szCs w:val="21"/>
                              </w:rPr>
                              <w:t>5.18%</w:t>
                            </w:r>
                            <w:r>
                              <w:rPr>
                                <w:rFonts w:hint="eastAsia" w:ascii="Calibri" w:eastAsia="Calibri" w:cs="Calibri"/>
                                <w:color w:val="000000"/>
                                <w:sz w:val="21"/>
                                <w:szCs w:val="21"/>
                              </w:rPr>
                              <w:t>）</w:t>
                            </w:r>
                          </w:p>
                        </w:txbxContent>
                      </v:textbox>
                    </v:rect>
                  </v:group>
                </v:group>
                <v:group id="组合 177" o:spid="_x0000_s1026" o:spt="203" style="position:absolute;left:40071;top:0;height:27495;width:42316;" coordorigin="40071,0" coordsize="42316,27495"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group id="组合 178" o:spid="_x0000_s1026" o:spt="203" style="position:absolute;left:40154;top:0;height:6463;width:38783;" coordorigin="40154,0" coordsize="20968,6463"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roundrect id="矩形: 圆角 179" o:spid="_x0000_s1026" o:spt="2" style="position:absolute;left:40154;top:0;height:6463;width:20968;" fillcolor="#FEC74C" filled="t" stroked="f" coordsize="21600,21600" arcsize="0.5" o:gfxdata="UEsDBAoAAAAAAIdO4kAAAAAAAAAAAAAAAAAEAAAAZHJzL1BLAwQUAAAACACHTuJAr7BFIbYAAADc&#10;AAAADwAAAGRycy9kb3ducmV2LnhtbEVPyQrCMBC9C/5DGMGbpoq4VKO4IHgQxKr3oRnbajMpTdz+&#10;3hwEj4+3zxZvU4on1a6wrKDXjUAQp1YXnCk4n7adMQjnkTWWlknBhxws5s3GDGNtX3ykZ+IzEULY&#10;xagg976KpXRpTgZd11bEgbva2qAPsM6krvEVwk0p+1E0lAYLDg05VrTOKb0nD6Ngu7/sbnLF2aGY&#10;aGKzdHuzSZVqt3rRFISnt/+Lf+6dVjAYhbXhTDgC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wRSG2AAAA3AAAAA8A&#10;AAAAAAAAAQAgAAAAIgAAAGRycy9kb3ducmV2LnhtbFBLAQIUABQAAAAIAIdO4kAzLwWeOwAAADkA&#10;AAAQAAAAAAAAAAEAIAAAAAUBAABkcnMvc2hhcGV4bWwueG1sUEsFBgAAAAAGAAYAWwEAAK8DAAAA&#10;AA==&#10;">
                      <v:fill on="t" focussize="0,0"/>
                      <v:stroke on="f"/>
                      <v:imagedata o:title=""/>
                      <o:lock v:ext="edit" aspectratio="f"/>
                    </v:roundrect>
                    <v:rect id="矩形 180" o:spid="_x0000_s1026" o:spt="1" style="position:absolute;left:42129;top:57;height:6005;width:17183;" filled="f" stroked="f" coordsize="21600,21600" o:gfxdata="UEsDBAoAAAAAAIdO4kAAAAAAAAAAAAAAAAAEAAAAZHJzL1BLAwQUAAAACACHTuJATH7l+78AAADc&#10;AAAADwAAAGRycy9kb3ducmV2LnhtbEWPT2vCQBTE74LfYXlCL0U3ltJqdPUgiEEEafxzfmSfSTD7&#10;NmbXxH57t1DwOMzMb5j58mEq0VLjSssKxqMIBHFmdcm5guNhPZyAcB5ZY2WZFPySg+Wi35tjrG3H&#10;P9SmPhcBwi5GBYX3dSylywoy6Ea2Jg7exTYGfZBNLnWDXYCbSn5E0Zc0WHJYKLCmVUHZNb0bBV22&#10;b8+H3Ubu38+J5VtyW6WnrVJvg3E0A+Hp4V/h/3aiFXx+T+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5f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就业行业</w:t>
                            </w:r>
                          </w:p>
                        </w:txbxContent>
                      </v:textbox>
                    </v:rect>
                  </v:group>
                  <v:group id="组合 181" o:spid="_x0000_s1026" o:spt="203" style="position:absolute;left:40071;top:7849;height:19646;width:42316;" coordorigin="40071,7849" coordsize="42316,19646"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f"/>
                    <v:roundrect id="矩形: 圆角 182" o:spid="_x0000_s1026" o:spt="2" style="position:absolute;left:40153;top:7849;height:17045;width:38784;" fillcolor="#E7E6E6" filled="t" stroked="f" coordsize="21600,21600" arcsize="0.166666666666667" o:gfxdata="UEsDBAoAAAAAAIdO4kAAAAAAAAAAAAAAAAAEAAAAZHJzL1BLAwQUAAAACACHTuJAE3lkBL4AAADc&#10;AAAADwAAAGRycy9kb3ducmV2LnhtbEWPzWoCQRCE74G8w9ABL0FnVqLI6ugh0ZCLEX8eoNlpdxd3&#10;etad9idv7wQCORZV9RU1W9x9o67UxTqwhWxgQBEXwdVcWjjsV/0JqCjIDpvAZOGHIizmz08zzF24&#10;8ZauOylVgnDM0UIl0uZax6Iij3EQWuLkHUPnUZLsSu06vCW4b/TQmLH2WHNaqLCl94qK0+7iLdSf&#10;MvxoxpvXb7MUfZZzO3LrkbW9l8xMQQnd5T/81/5yFt4mGfyeSUdAz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kBL4A&#10;AADcAAAADwAAAAAAAAABACAAAAAiAAAAZHJzL2Rvd25yZXYueG1sUEsBAhQAFAAAAAgAh07iQDMv&#10;BZ47AAAAOQAAABAAAAAAAAAAAQAgAAAADQEAAGRycy9zaGFwZXhtbC54bWxQSwUGAAAAAAYABgBb&#10;AQAAtwMAAAAA&#10;">
                      <v:fill on="t" focussize="0,0"/>
                      <v:stroke on="f"/>
                      <v:imagedata o:title=""/>
                      <o:lock v:ext="edit" aspectratio="f"/>
                    </v:roundrect>
                    <v:rect id="矩形 183" o:spid="_x0000_s1026" o:spt="1" style="position:absolute;left:40071;top:8947;height:18548;width:42316;" filled="f" stroked="f" coordsize="21600,21600" o:gfxdata="UEsDBAoAAAAAAIdO4kAAAAAAAAAAAAAAAAAEAAAAZHJzL1BLAwQUAAAACACHTuJAdw8Hrb4AAADc&#10;AAAADwAAAGRycy9kb3ducmV2LnhtbEWPQYvCMBSE7wv+h/AEL4umiixSjR4EsSyC2KrnR/Nsi81L&#10;bbKt++83grDHYWa+YVabp6lFR62rLCuYTiIQxLnVFRcKztluvADhPLLG2jIp+CUHm/XgY4Wxtj2f&#10;qEt9IQKEXYwKSu+bWEqXl2TQTWxDHLybbQ36INtC6hb7ADe1nEXRlzRYcVgosaFtSfk9/TEK+vzY&#10;XbPDXh4/r4nlR/LYppdvpUbDabQE4enp/8PvdqIVzBc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8Hr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29"/>
                              <w:spacing w:beforeAutospacing="0" w:after="0" w:afterAutospacing="0"/>
                              <w:rPr>
                                <w:rFonts w:ascii="Times New Roman" w:hAnsi="Times New Roman" w:cs="Times New Roman"/>
                                <w:sz w:val="21"/>
                                <w:szCs w:val="21"/>
                              </w:rPr>
                            </w:pPr>
                            <w:r>
                              <w:rPr>
                                <w:rFonts w:ascii="Times New Roman" w:hAnsi="Times New Roman" w:eastAsia="Calibri" w:cs="Times New Roman"/>
                                <w:color w:val="000000"/>
                                <w:sz w:val="21"/>
                                <w:szCs w:val="21"/>
                              </w:rPr>
                              <w:t>卫生和社会工作（25.18%）</w:t>
                            </w:r>
                          </w:p>
                          <w:p>
                            <w:pPr>
                              <w:pStyle w:val="29"/>
                              <w:spacing w:beforeAutospacing="0" w:after="0" w:afterAutospacing="0"/>
                              <w:rPr>
                                <w:sz w:val="21"/>
                                <w:szCs w:val="21"/>
                              </w:rPr>
                            </w:pPr>
                            <w:r>
                              <w:rPr>
                                <w:rFonts w:hint="eastAsia" w:ascii="Calibri" w:eastAsia="Calibri" w:cs="Calibri"/>
                                <w:color w:val="000000"/>
                                <w:sz w:val="21"/>
                                <w:szCs w:val="21"/>
                              </w:rPr>
                              <w:t>教育（</w:t>
                            </w:r>
                            <w:r>
                              <w:rPr>
                                <w:rFonts w:ascii="Times New Roman" w:hAnsi="Times New Roman" w:eastAsia="Calibri" w:cs="Times New Roman"/>
                                <w:color w:val="000000"/>
                                <w:sz w:val="21"/>
                                <w:szCs w:val="21"/>
                              </w:rPr>
                              <w:t>18.98%</w:t>
                            </w:r>
                            <w:r>
                              <w:rPr>
                                <w:rFonts w:hint="eastAsia" w:ascii="Calibri" w:eastAsia="Calibri" w:cs="Calibri"/>
                                <w:color w:val="000000"/>
                                <w:sz w:val="21"/>
                                <w:szCs w:val="21"/>
                              </w:rPr>
                              <w:t>）</w:t>
                            </w:r>
                          </w:p>
                          <w:p>
                            <w:pPr>
                              <w:pStyle w:val="29"/>
                              <w:spacing w:beforeAutospacing="0" w:after="0" w:afterAutospacing="0"/>
                              <w:rPr>
                                <w:color w:val="000000"/>
                                <w:sz w:val="21"/>
                                <w:szCs w:val="21"/>
                              </w:rPr>
                            </w:pPr>
                            <w:r>
                              <w:rPr>
                                <w:rFonts w:hint="eastAsia" w:ascii="Calibri" w:eastAsia="Calibri" w:cs="Calibri"/>
                                <w:color w:val="000000"/>
                                <w:sz w:val="21"/>
                                <w:szCs w:val="21"/>
                              </w:rPr>
                              <w:t>制造业（</w:t>
                            </w:r>
                            <w:r>
                              <w:rPr>
                                <w:rFonts w:ascii="Times New Roman" w:hAnsi="Times New Roman" w:eastAsia="Calibri" w:cs="Times New Roman"/>
                                <w:color w:val="000000"/>
                                <w:sz w:val="21"/>
                                <w:szCs w:val="21"/>
                              </w:rPr>
                              <w:t>10.87%</w:t>
                            </w:r>
                            <w:r>
                              <w:rPr>
                                <w:rFonts w:hint="eastAsia" w:ascii="Calibri" w:eastAsia="Calibri" w:cs="Calibri"/>
                                <w:color w:val="000000"/>
                                <w:sz w:val="21"/>
                                <w:szCs w:val="21"/>
                              </w:rPr>
                              <w:t>）</w:t>
                            </w:r>
                          </w:p>
                        </w:txbxContent>
                      </v:textbox>
                    </v:rect>
                  </v:group>
                </v:group>
                <v:group id="组合 184" o:spid="_x0000_s1026" o:spt="203" style="position:absolute;left:0;top:28011;height:28770;width:38997;" coordorigin="0,28011" coordsize="38997,28770"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group id="组合 185" o:spid="_x0000_s1026" o:spt="203" style="position:absolute;left:0;top:28011;height:6464;width:38783;" coordorigin="0,28011" coordsize="20968,6463"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roundrect id="矩形: 圆角 186" o:spid="_x0000_s1026" o:spt="2" style="position:absolute;left:0;top:28011;height:6464;width:20968;" fillcolor="#4EB389" filled="t" stroked="f" coordsize="21600,21600" arcsize="0.5" o:gfxdata="UEsDBAoAAAAAAIdO4kAAAAAAAAAAAAAAAAAEAAAAZHJzL1BLAwQUAAAACACHTuJA4tRiFLsAAADc&#10;AAAADwAAAGRycy9kb3ducmV2LnhtbEWPT2sCMRTE74V+h/AK3mp2i5ZlNXoQhJ5EV70/N6+7i8lL&#10;msR/394UCj0OM/MbZr68WyOuFOLgWEE5LkAQt04P3Ck47NfvFYiYkDUax6TgQRGWi9eXOdba3XhH&#10;1yZ1IkM41qigT8nXUsa2J4tx7Dxx9r5dsJiyDJ3UAW8Zbo38KIpPaXHgvNCjp1VP7bm5WAVVIO9W&#10;0/Wp2bLfnMvT8Ucbo9TorSxmIBLd03/4r/2lFUyqKfyey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RiFLsAAADc&#10;AAAADwAAAAAAAAABACAAAAAiAAAAZHJzL2Rvd25yZXYueG1sUEsBAhQAFAAAAAgAh07iQDMvBZ47&#10;AAAAOQAAABAAAAAAAAAAAQAgAAAACgEAAGRycy9zaGFwZXhtbC54bWxQSwUGAAAAAAYABgBbAQAA&#10;tAMAAAAA&#10;">
                      <v:fill on="t" focussize="0,0"/>
                      <v:stroke on="f"/>
                      <v:imagedata o:title=""/>
                      <o:lock v:ext="edit" aspectratio="f"/>
                    </v:roundrect>
                    <v:rect id="矩形 187" o:spid="_x0000_s1026" o:spt="1" style="position:absolute;left:1390;top:28244;height:5589;width:17183;" filled="f" stroked="f" coordsize="21600,21600" o:gfxdata="UEsDBAoAAAAAAIdO4kAAAAAAAAAAAAAAAAAEAAAAZHJzL1BLAwQUAAAACACHTuJACDQBrr8AAADc&#10;AAAADwAAAGRycy9kb3ducmV2LnhtbEWPQWvCQBSE7wX/w/IEL0U3SgkSXT0ExFAKobH1/Mg+k2D2&#10;bZLdJvbfdwuFHoeZ+YbZHx+mFSMNrrGsYL2KQBCXVjdcKfi4nJZbEM4ja2wtk4JvcnA8zJ72mGg7&#10;8TuNha9EgLBLUEHtfZdI6cqaDLqV7YiDd7ODQR/kUEk94BTgppWbKIqlwYbDQo0dpTWV9+LLKJjK&#10;fLxe3s4yf75mlvusT4vPV6UW83W0A+Hp4f/Df+1MK3jZxv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0Aa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就业职业</w:t>
                            </w:r>
                          </w:p>
                        </w:txbxContent>
                      </v:textbox>
                    </v:rect>
                  </v:group>
                  <v:group id="组合 188" o:spid="_x0000_s1026" o:spt="203" style="position:absolute;left:214;top:36151;height:20630;width:38783;" coordorigin="214,36151" coordsize="38783,20630"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roundrect id="矩形: 圆角 189" o:spid="_x0000_s1026" o:spt="2" style="position:absolute;left:214;top:36151;height:18848;width:38783;" fillcolor="#E7E6E6" filled="t" stroked="f" coordsize="21600,21600" arcsize="0.166666666666667" o:gfxdata="UEsDBAoAAAAAAIdO4kAAAAAAAAAAAAAAAAAEAAAAZHJzL1BLAwQUAAAACACHTuJAgkPNmboAAADc&#10;AAAADwAAAGRycy9kb3ducmV2LnhtbEVPyW7CMBC9I/EP1iBxQcUGAUIphgObuLSotB8wiqdJRDwO&#10;8bD9PT5U6vHp7YvVw9fqRm2sAlsYDQ0o4jy4igsLP9+7tzmoKMgO68Bk4UkRVstuZ4GZC3f+ottJ&#10;CpVCOGZooRRpMq1jXpLHOAwNceJ+Q+tREmwL7Vq8p3Bf67ExM+2x4tRQYkPrkvLz6eotVHsZb+rZ&#10;cfBptqIvcmmm7mNqbb83Mu+ghB7yL/5zH5yFyTytTWfSEd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Q82ZugAAANwA&#10;AAAPAAAAAAAAAAEAIAAAACIAAABkcnMvZG93bnJldi54bWxQSwECFAAUAAAACACHTuJAMy8FnjsA&#10;AAA5AAAAEAAAAAAAAAABACAAAAAJAQAAZHJzL3NoYXBleG1sLnhtbFBLBQYAAAAABgAGAFsBAACz&#10;AwAAAAA=&#10;">
                      <v:fill on="t" focussize="0,0"/>
                      <v:stroke on="f"/>
                      <v:imagedata o:title=""/>
                      <o:lock v:ext="edit" aspectratio="f"/>
                    </v:roundrect>
                    <v:rect id="矩形 448" o:spid="_x0000_s1026" o:spt="1" style="position:absolute;left:1261;top:37590;height:19191;width:36417;" filled="f" stroked="f" coordsize="21600,21600" o:gfxdata="UEsDBAoAAAAAAIdO4kAAAAAAAAAAAAAAAAAEAAAAZHJzL1BLAwQUAAAACACHTuJAeauV3L4AAADc&#10;AAAADwAAAGRycy9kb3ducmV2LnhtbEWPT4vCMBTE78J+h/AWvIimLiJajR6EZYsIYv1zfjTPtti8&#10;1Cbb6rc3Cwseh5n5DbNcP0wlWmpcaVnBeBSBIM6sLjlXcDp+D2cgnEfWWFkmBU9ysF599JYYa9vx&#10;gdrU5yJA2MWooPC+jqV0WUEG3cjWxMG72sagD7LJpW6wC3BTya8omkqDJYeFAmvaFJTd0l+joMv2&#10;7eW4+5H7wSWxfE/um/S8Var/OY4WIDw9/Dv83060gslsD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V3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29"/>
                              <w:spacing w:beforeAutospacing="0" w:after="0" w:afterAutospacing="0"/>
                              <w:rPr>
                                <w:rFonts w:ascii="Times New Roman" w:hAnsi="Times New Roman" w:eastAsia="Calibri" w:cs="Times New Roman"/>
                                <w:color w:val="000000"/>
                                <w:sz w:val="21"/>
                                <w:szCs w:val="21"/>
                              </w:rPr>
                            </w:pPr>
                            <w:r>
                              <w:rPr>
                                <w:rFonts w:ascii="Times New Roman" w:hAnsi="Times New Roman" w:eastAsia="Calibri" w:cs="Times New Roman"/>
                                <w:color w:val="000000"/>
                                <w:sz w:val="21"/>
                                <w:szCs w:val="21"/>
                              </w:rPr>
                              <w:t>其他人员（28.07%）</w:t>
                            </w:r>
                          </w:p>
                          <w:p>
                            <w:pPr>
                              <w:pStyle w:val="29"/>
                              <w:spacing w:beforeAutospacing="0" w:after="0" w:afterAutospacing="0"/>
                              <w:rPr>
                                <w:rFonts w:ascii="Calibri" w:eastAsia="Calibri" w:cs="Calibri"/>
                                <w:color w:val="000000"/>
                                <w:sz w:val="21"/>
                                <w:szCs w:val="21"/>
                              </w:rPr>
                            </w:pPr>
                            <w:r>
                              <w:rPr>
                                <w:rFonts w:hint="eastAsia" w:ascii="Calibri" w:eastAsia="Calibri" w:cs="Calibri"/>
                                <w:color w:val="000000"/>
                                <w:sz w:val="21"/>
                                <w:szCs w:val="21"/>
                              </w:rPr>
                              <w:t>卫生专业技术人员（</w:t>
                            </w:r>
                            <w:r>
                              <w:rPr>
                                <w:rFonts w:ascii="Times New Roman" w:hAnsi="Times New Roman" w:eastAsia="Calibri" w:cs="Times New Roman"/>
                                <w:color w:val="000000"/>
                                <w:sz w:val="21"/>
                                <w:szCs w:val="21"/>
                              </w:rPr>
                              <w:t>20.73%</w:t>
                            </w:r>
                            <w:r>
                              <w:rPr>
                                <w:rFonts w:hint="eastAsia" w:ascii="Calibri" w:eastAsia="Calibri" w:cs="Calibri"/>
                                <w:color w:val="000000"/>
                                <w:sz w:val="21"/>
                                <w:szCs w:val="21"/>
                              </w:rPr>
                              <w:t>）</w:t>
                            </w:r>
                          </w:p>
                          <w:p>
                            <w:pPr>
                              <w:pStyle w:val="29"/>
                              <w:spacing w:beforeAutospacing="0" w:after="0" w:afterAutospacing="0"/>
                              <w:rPr>
                                <w:rFonts w:ascii="Calibri" w:cs="Calibri"/>
                                <w:color w:val="000000"/>
                                <w:sz w:val="21"/>
                                <w:szCs w:val="21"/>
                              </w:rPr>
                            </w:pPr>
                            <w:r>
                              <w:rPr>
                                <w:rFonts w:hint="eastAsia" w:ascii="Calibri" w:eastAsia="Calibri" w:cs="Calibri"/>
                                <w:color w:val="000000"/>
                                <w:sz w:val="21"/>
                                <w:szCs w:val="21"/>
                              </w:rPr>
                              <w:t>教学人员（</w:t>
                            </w:r>
                            <w:r>
                              <w:rPr>
                                <w:rFonts w:ascii="Times New Roman" w:hAnsi="Times New Roman" w:eastAsia="Calibri" w:cs="Times New Roman"/>
                                <w:color w:val="000000"/>
                                <w:sz w:val="21"/>
                                <w:szCs w:val="21"/>
                              </w:rPr>
                              <w:t>16.38%</w:t>
                            </w:r>
                            <w:r>
                              <w:rPr>
                                <w:rFonts w:hint="eastAsia" w:ascii="Calibri" w:eastAsia="Calibri" w:cs="Calibri"/>
                                <w:color w:val="000000"/>
                                <w:sz w:val="21"/>
                                <w:szCs w:val="21"/>
                              </w:rPr>
                              <w:t>）</w:t>
                            </w:r>
                          </w:p>
                        </w:txbxContent>
                      </v:textbox>
                    </v:rect>
                  </v:group>
                </v:group>
                <v:group id="组合 449" o:spid="_x0000_s1026" o:spt="203" style="position:absolute;left:40153;top:27498;height:28943;width:38784;" coordorigin="40153,27498" coordsize="38783,28942"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10;">
                  <o:lock v:ext="edit" aspectratio="f"/>
                  <v:group id="组合 450" o:spid="_x0000_s1026" o:spt="203" style="position:absolute;left:40154;top:27498;height:6464;width:38783;" coordorigin="40117,27498" coordsize="20968,6463"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f"/>
                    <v:roundrect id="矩形: 圆角 451" o:spid="_x0000_s1026" o:spt="2" style="position:absolute;left:40117;top:27498;height:6464;width:20968;" fillcolor="#36AFB8" filled="t" stroked="f" coordsize="21600,21600" arcsize="0.5" o:gfxdata="UEsDBAoAAAAAAIdO4kAAAAAAAAAAAAAAAAAEAAAAZHJzL1BLAwQUAAAACACHTuJA0aJK9L4AAADc&#10;AAAADwAAAGRycy9kb3ducmV2LnhtbEWPS4sCMRCE78L+h9ALexFNHER0NMqyIHj1ge7e2kk7M+6k&#10;M0zi89cbQfBYVNVX1GR2tZU4U+NLxxp6XQWCOHOm5FzDZj3vDEH4gGywckwabuRhNv1oTTA17sJL&#10;Oq9CLiKEfYoaihDqVEqfFWTRd11NHL2DayyGKJtcmgYvEW4rmSg1kBZLjgsF1vRTUPa/OlkN290+&#10;Wf+pU+aor+bt++13ePxeaP312VNjEIGu4R1+tRdGQ3+UwP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JK9L4A&#10;AADcAAAADwAAAAAAAAABACAAAAAiAAAAZHJzL2Rvd25yZXYueG1sUEsBAhQAFAAAAAgAh07iQDMv&#10;BZ47AAAAOQAAABAAAAAAAAAAAQAgAAAADQEAAGRycy9zaGFwZXhtbC54bWxQSwUGAAAAAAYABgBb&#10;AQAAtwMAAAAA&#10;">
                      <v:fill on="t" focussize="0,0"/>
                      <v:stroke on="f"/>
                      <v:imagedata o:title=""/>
                      <o:lock v:ext="edit" aspectratio="f"/>
                    </v:roundrect>
                    <v:rect id="矩形 452" o:spid="_x0000_s1026" o:spt="1" style="position:absolute;left:41974;top:27729;height:5218;width:17186;" filled="f" stroked="f" coordsize="21600,21600" o:gfxdata="UEsDBAoAAAAAAIdO4kAAAAAAAAAAAAAAAAAEAAAAZHJzL1BLAwQUAAAACACHTuJAnZo0678AAADc&#10;AAAADwAAAGRycy9kb3ducmV2LnhtbEWPT2vCQBTE74LfYXlCL0U3tqVodPUgiEEEafxzfmSfSTD7&#10;NmbXxH57t1DwOMzMb5j58mEq0VLjSssKxqMIBHFmdcm5guNhPZyAcB5ZY2WZFPySg+Wi35tjrG3H&#10;P9SmPhcBwi5GBYX3dSylywoy6Ea2Jg7exTYGfZBNLnWDXYCbSn5E0bc0WHJYKLCmVUHZNb0bBV22&#10;b8+H3Ubu38+J5VtyW6WnrVJvg3E0A+Hp4V/h/3aiFXxNP+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aNO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9"/>
                              <w:spacing w:beforeAutospacing="0" w:after="0" w:afterAutospacing="0"/>
                              <w:jc w:val="center"/>
                              <w:rPr>
                                <w:sz w:val="21"/>
                                <w:szCs w:val="21"/>
                              </w:rPr>
                            </w:pPr>
                            <w:r>
                              <w:rPr>
                                <w:rFonts w:hint="eastAsia" w:ascii="Calibri" w:eastAsia="Calibri" w:cs="Calibri"/>
                                <w:b/>
                                <w:bCs/>
                                <w:color w:val="FFFFFF"/>
                                <w:sz w:val="21"/>
                                <w:szCs w:val="21"/>
                              </w:rPr>
                              <w:t>就业单位</w:t>
                            </w:r>
                          </w:p>
                        </w:txbxContent>
                      </v:textbox>
                    </v:rect>
                  </v:group>
                  <v:group id="组合 453" o:spid="_x0000_s1026" o:spt="203" style="position:absolute;left:40153;top:36218;height:20223;width:38784;" coordorigin="40153,36218" coordsize="38783,20222"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roundrect id="矩形: 圆角 454" o:spid="_x0000_s1026" o:spt="2" style="position:absolute;left:40153;top:36218;height:18778;width:38784;" fillcolor="#E7E6E6" filled="t" stroked="f" coordsize="21600,21600" arcsize="0.166666666666667" o:gfxdata="UEsDBAoAAAAAAIdO4kAAAAAAAAAAAAAAAAAEAAAAZHJzL1BLAwQUAAAACACHTuJA6Zv02r8AAADc&#10;AAAADwAAAGRycy9kb3ducmV2LnhtbEWPzW7CMBCE75X6DtZW6gWBDWoQBAyHtqBeCuLnAVbxkkSN&#10;1yHeAn37uhJSj6OZ+UYzX958oy7UxTqwheHAgCIugqu5tHA8rPoTUFGQHTaBycIPRVguHh/mmLtw&#10;5R1d9lKqBOGYo4VKpM21jkVFHuMgtMTJO4XOoyTZldp1eE1w3+iRMWPtsea0UGFLrxUVX/tvb6Fe&#10;y+itGW97G/Mu+iznNnOfmbXPT0MzAyV0k//wvf3hLLxMM/g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b9Nq/&#10;AAAA3AAAAA8AAAAAAAAAAQAgAAAAIgAAAGRycy9kb3ducmV2LnhtbFBLAQIUABQAAAAIAIdO4kAz&#10;LwWeOwAAADkAAAAQAAAAAAAAAAEAIAAAAA4BAABkcnMvc2hhcGV4bWwueG1sUEsFBgAAAAAGAAYA&#10;WwEAALgDAAAAAA==&#10;">
                      <v:fill on="t" focussize="0,0"/>
                      <v:stroke on="f"/>
                      <v:imagedata o:title=""/>
                      <o:lock v:ext="edit" aspectratio="f"/>
                    </v:roundrect>
                    <v:rect id="矩形 455" o:spid="_x0000_s1026" o:spt="1" style="position:absolute;left:41335;top:37590;height:18851;width:36417;" filled="f" stroked="f" coordsize="21600,21600" o:gfxdata="UEsDBAoAAAAAAIdO4kAAAAAAAAAAAAAAAAAEAAAAZHJzL1BLAwQUAAAACACHTuJAje2Xc8AAAADc&#10;AAAADwAAAGRycy9kb3ducmV2LnhtbEWPzWrDMBCE74W8g9hCLiWRE4pp3Mg+BEJNKJg6P+fF2tqm&#10;1sqxVDt5+6pQ6HGYmW+YbXYznRhpcK1lBatlBIK4srrlWsHpuF+8gHAeWWNnmRTcyUGWzh62mGg7&#10;8QeNpa9FgLBLUEHjfZ9I6aqGDLql7YmD92kHgz7IoZZ6wCnATSfXURRLgy2HhQZ72jVUfZXfRsFU&#10;FePl+P4mi6dLbvmaX3fl+aDU/HEVvYLwdPP/4b92rhU8b2L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7Zdz&#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9"/>
                              <w:spacing w:beforeAutospacing="0" w:after="0" w:afterAutospacing="0"/>
                              <w:rPr>
                                <w:rFonts w:ascii="Times New Roman" w:hAnsi="Times New Roman" w:cs="Times New Roman"/>
                                <w:sz w:val="21"/>
                                <w:szCs w:val="21"/>
                              </w:rPr>
                            </w:pPr>
                            <w:r>
                              <w:rPr>
                                <w:rFonts w:ascii="Times New Roman" w:hAnsi="Times New Roman" w:eastAsia="Calibri" w:cs="Times New Roman"/>
                                <w:color w:val="000000"/>
                                <w:sz w:val="21"/>
                                <w:szCs w:val="21"/>
                              </w:rPr>
                              <w:t>其他企业（68.18%）</w:t>
                            </w:r>
                          </w:p>
                          <w:p>
                            <w:pPr>
                              <w:pStyle w:val="29"/>
                              <w:spacing w:beforeAutospacing="0" w:after="0" w:afterAutospacing="0"/>
                              <w:rPr>
                                <w:sz w:val="21"/>
                                <w:szCs w:val="21"/>
                              </w:rPr>
                            </w:pPr>
                            <w:r>
                              <w:rPr>
                                <w:rFonts w:hint="eastAsia" w:ascii="Calibri" w:eastAsia="Calibri" w:cs="Calibri"/>
                                <w:color w:val="000000"/>
                                <w:sz w:val="21"/>
                                <w:szCs w:val="21"/>
                              </w:rPr>
                              <w:t>医疗卫生单位（</w:t>
                            </w:r>
                            <w:r>
                              <w:rPr>
                                <w:rFonts w:ascii="Times New Roman" w:hAnsi="Times New Roman" w:eastAsia="Calibri" w:cs="Times New Roman"/>
                                <w:color w:val="000000"/>
                                <w:sz w:val="21"/>
                                <w:szCs w:val="21"/>
                              </w:rPr>
                              <w:t>11.68%</w:t>
                            </w:r>
                            <w:r>
                              <w:rPr>
                                <w:rFonts w:hint="eastAsia" w:ascii="Calibri" w:eastAsia="Calibri" w:cs="Calibri"/>
                                <w:color w:val="000000"/>
                                <w:sz w:val="21"/>
                                <w:szCs w:val="21"/>
                              </w:rPr>
                              <w:t>）</w:t>
                            </w:r>
                          </w:p>
                          <w:p>
                            <w:pPr>
                              <w:pStyle w:val="29"/>
                              <w:spacing w:beforeAutospacing="0" w:after="0" w:afterAutospacing="0"/>
                              <w:rPr>
                                <w:rFonts w:ascii="Calibri" w:cs="Calibri"/>
                                <w:color w:val="000000"/>
                                <w:sz w:val="21"/>
                                <w:szCs w:val="21"/>
                              </w:rPr>
                            </w:pPr>
                            <w:r>
                              <w:rPr>
                                <w:rFonts w:hint="eastAsia" w:ascii="Calibri" w:eastAsia="Calibri" w:cs="Calibri"/>
                                <w:color w:val="000000"/>
                                <w:sz w:val="21"/>
                                <w:szCs w:val="21"/>
                              </w:rPr>
                              <w:t>中初教育单位（</w:t>
                            </w:r>
                            <w:r>
                              <w:rPr>
                                <w:rFonts w:ascii="Times New Roman" w:hAnsi="Times New Roman" w:eastAsia="Calibri" w:cs="Times New Roman"/>
                                <w:color w:val="000000"/>
                                <w:sz w:val="21"/>
                                <w:szCs w:val="21"/>
                              </w:rPr>
                              <w:t>7.23%</w:t>
                            </w:r>
                            <w:r>
                              <w:rPr>
                                <w:rFonts w:hint="eastAsia" w:ascii="Calibri" w:eastAsia="Calibri" w:cs="Calibri"/>
                                <w:color w:val="000000"/>
                                <w:sz w:val="21"/>
                                <w:szCs w:val="21"/>
                              </w:rPr>
                              <w:t>）</w:t>
                            </w:r>
                          </w:p>
                        </w:txbxContent>
                      </v:textbox>
                    </v:rect>
                  </v:group>
                </v:group>
                <w10:wrap type="none"/>
                <w10:anchorlock/>
              </v:group>
            </w:pict>
          </mc:Fallback>
        </mc:AlternateContent>
      </w:r>
    </w:p>
    <w:p>
      <w:pPr>
        <w:pStyle w:val="180"/>
        <w:rPr>
          <w:bCs/>
          <w:color w:val="0F6FC6"/>
        </w:rPr>
      </w:pPr>
      <w:bookmarkStart w:id="20" w:name="_Toc521678778"/>
      <w:r>
        <w:rPr>
          <w:rFonts w:hint="eastAsia"/>
          <w:bCs/>
          <w:color w:val="0F6FC6"/>
        </w:rPr>
        <w:t xml:space="preserve">图 </w:t>
      </w:r>
      <w:r>
        <w:rPr>
          <w:bCs/>
          <w:color w:val="0F6FC6"/>
        </w:rPr>
        <w:fldChar w:fldCharType="begin"/>
      </w:r>
      <w:r>
        <w:rPr>
          <w:bCs/>
          <w:color w:val="0F6FC6"/>
        </w:rPr>
        <w:instrText xml:space="preserve"> </w:instrText>
      </w:r>
      <w:r>
        <w:rPr>
          <w:rFonts w:hint="eastAsia"/>
          <w:bCs/>
          <w:color w:val="0F6FC6"/>
        </w:rPr>
        <w:instrText xml:space="preserve">SEQ 图 \* ARABIC</w:instrText>
      </w:r>
      <w:r>
        <w:rPr>
          <w:bCs/>
          <w:color w:val="0F6FC6"/>
        </w:rPr>
        <w:instrText xml:space="preserve"> </w:instrText>
      </w:r>
      <w:r>
        <w:rPr>
          <w:bCs/>
          <w:color w:val="0F6FC6"/>
        </w:rPr>
        <w:fldChar w:fldCharType="separate"/>
      </w:r>
      <w:r>
        <w:rPr>
          <w:bCs/>
          <w:color w:val="0F6FC6"/>
        </w:rPr>
        <w:t>2</w:t>
      </w:r>
      <w:r>
        <w:rPr>
          <w:bCs/>
          <w:color w:val="0F6FC6"/>
        </w:rPr>
        <w:fldChar w:fldCharType="end"/>
      </w:r>
      <w:r>
        <w:rPr>
          <w:rStyle w:val="37"/>
          <w:rFonts w:hint="eastAsia"/>
          <w:b/>
        </w:rPr>
        <w:t xml:space="preserve">  </w:t>
      </w:r>
      <w:r>
        <w:rPr>
          <w:color w:val="0F6FC6"/>
        </w:rPr>
        <w:t>2021届</w:t>
      </w:r>
      <w:r>
        <w:rPr>
          <w:rFonts w:hint="eastAsia"/>
          <w:bCs/>
          <w:color w:val="0F6FC6"/>
        </w:rPr>
        <w:t>毕业生就业分布</w:t>
      </w:r>
      <w:bookmarkEnd w:id="20"/>
    </w:p>
    <w:p>
      <w:pPr>
        <w:pStyle w:val="141"/>
        <w:rPr>
          <w:color w:val="0F6FC6" w:themeColor="accent5"/>
          <w14:textFill>
            <w14:solidFill>
              <w14:schemeClr w14:val="accent5"/>
            </w14:solidFill>
          </w14:textFill>
        </w:rPr>
      </w:pPr>
      <w:bookmarkStart w:id="21" w:name="_Toc92706701"/>
      <w:r>
        <w:rPr>
          <w:rFonts w:hint="eastAsia"/>
          <w:color w:val="0F6FC6" w:themeColor="accent5"/>
          <w14:textFill>
            <w14:solidFill>
              <w14:schemeClr w14:val="accent5"/>
            </w14:solidFill>
          </w14:textFill>
        </w:rPr>
        <w:t>三、就业质量</w:t>
      </w:r>
      <w:bookmarkEnd w:id="15"/>
      <w:bookmarkEnd w:id="21"/>
    </w:p>
    <w:p>
      <w:pPr>
        <w:pStyle w:val="178"/>
        <w:spacing w:before="156"/>
        <w:ind w:firstLine="480"/>
      </w:pPr>
      <w:r>
        <w:rPr>
          <w:rFonts w:hint="eastAsia"/>
        </w:rPr>
        <w:t>学校</w:t>
      </w:r>
      <w:r>
        <w:t>2021届</w:t>
      </w:r>
      <w:r>
        <w:rPr>
          <w:rFonts w:hint="eastAsia"/>
        </w:rPr>
        <w:t>本科毕业生专业对口度为</w:t>
      </w:r>
      <w:r>
        <w:rPr>
          <w:rFonts w:hint="eastAsia"/>
          <w:szCs w:val="24"/>
          <w:lang w:val="zh-CN" w:eastAsia="zh-CN"/>
        </w:rPr>
        <w:t>72.70%</w:t>
      </w:r>
      <w:r>
        <w:rPr>
          <w:rFonts w:hint="eastAsia"/>
        </w:rPr>
        <w:t>，工作满意度为</w:t>
      </w:r>
      <w:r>
        <w:rPr>
          <w:rFonts w:hint="eastAsia"/>
          <w:lang w:val="en-US"/>
        </w:rPr>
        <w:t>92.31%</w:t>
      </w:r>
      <w:r>
        <w:rPr>
          <w:rFonts w:hint="eastAsia"/>
        </w:rPr>
        <w:t>，职业期待吻合度为</w:t>
      </w:r>
      <w:r>
        <w:rPr>
          <w:rFonts w:hint="eastAsia"/>
          <w:color w:val="000000" w:themeColor="text1"/>
          <w:szCs w:val="24"/>
          <w14:textFill>
            <w14:solidFill>
              <w14:schemeClr w14:val="tx1"/>
            </w14:solidFill>
          </w14:textFill>
        </w:rPr>
        <w:t>84.49%</w:t>
      </w:r>
      <w:r>
        <w:rPr>
          <w:rFonts w:hint="eastAsia"/>
        </w:rPr>
        <w:t>。</w:t>
      </w:r>
    </w:p>
    <w:p>
      <w:pPr>
        <w:pStyle w:val="178"/>
        <w:spacing w:before="156"/>
        <w:ind w:firstLine="199" w:firstLineChars="83"/>
      </w:pPr>
      <w:r>
        <w:rPr>
          <w:lang w:val="en-US"/>
        </w:rPr>
        <w:drawing>
          <wp:inline distT="0" distB="0" distL="0" distR="0">
            <wp:extent cx="5580380" cy="2600325"/>
            <wp:effectExtent l="0" t="0" r="0" b="41275"/>
            <wp:docPr id="1526" name="图示 15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pPr>
        <w:pStyle w:val="180"/>
        <w:rPr>
          <w:bCs/>
          <w:color w:val="0F6FC6"/>
        </w:rPr>
      </w:pPr>
      <w:bookmarkStart w:id="22" w:name="_Toc521678779"/>
      <w:r>
        <w:rPr>
          <w:rFonts w:hint="eastAsia"/>
          <w:bCs/>
          <w:color w:val="0F6FC6"/>
        </w:rPr>
        <w:t xml:space="preserve">图 </w:t>
      </w:r>
      <w:r>
        <w:rPr>
          <w:bCs/>
          <w:color w:val="0F6FC6"/>
        </w:rPr>
        <w:fldChar w:fldCharType="begin"/>
      </w:r>
      <w:r>
        <w:rPr>
          <w:bCs/>
          <w:color w:val="0F6FC6"/>
        </w:rPr>
        <w:instrText xml:space="preserve"> </w:instrText>
      </w:r>
      <w:r>
        <w:rPr>
          <w:rFonts w:hint="eastAsia"/>
          <w:bCs/>
          <w:color w:val="0F6FC6"/>
        </w:rPr>
        <w:instrText xml:space="preserve">SEQ 图 \* ARABIC</w:instrText>
      </w:r>
      <w:r>
        <w:rPr>
          <w:bCs/>
          <w:color w:val="0F6FC6"/>
        </w:rPr>
        <w:instrText xml:space="preserve"> </w:instrText>
      </w:r>
      <w:r>
        <w:rPr>
          <w:bCs/>
          <w:color w:val="0F6FC6"/>
        </w:rPr>
        <w:fldChar w:fldCharType="separate"/>
      </w:r>
      <w:r>
        <w:rPr>
          <w:bCs/>
          <w:color w:val="0F6FC6"/>
        </w:rPr>
        <w:t>3</w:t>
      </w:r>
      <w:r>
        <w:rPr>
          <w:bCs/>
          <w:color w:val="0F6FC6"/>
        </w:rPr>
        <w:fldChar w:fldCharType="end"/>
      </w:r>
      <w:r>
        <w:rPr>
          <w:color w:val="0F6FC6"/>
        </w:rPr>
        <w:t xml:space="preserve">  2021届</w:t>
      </w:r>
      <w:r>
        <w:rPr>
          <w:rFonts w:hint="eastAsia"/>
          <w:bCs/>
          <w:color w:val="0F6FC6"/>
        </w:rPr>
        <w:t>本科毕业生就业质量</w:t>
      </w:r>
      <w:bookmarkEnd w:id="22"/>
    </w:p>
    <w:p>
      <w:pPr>
        <w:pStyle w:val="180"/>
        <w:rPr>
          <w:bCs/>
          <w:color w:val="0F6FC6"/>
        </w:rPr>
      </w:pPr>
    </w:p>
    <w:p>
      <w:pPr>
        <w:pStyle w:val="178"/>
        <w:spacing w:before="156"/>
        <w:ind w:firstLine="480"/>
      </w:pPr>
      <w:r>
        <w:rPr>
          <w:rFonts w:hint="eastAsia"/>
        </w:rPr>
        <w:t>学校</w:t>
      </w:r>
      <w:r>
        <w:t>2021届</w:t>
      </w:r>
      <w:r>
        <w:rPr>
          <w:rFonts w:hint="eastAsia"/>
        </w:rPr>
        <w:t>专科毕业生专业对口度为</w:t>
      </w:r>
      <w:r>
        <w:rPr>
          <w:rFonts w:hint="eastAsia"/>
          <w:szCs w:val="24"/>
          <w:lang w:val="zh-CN" w:eastAsia="zh-CN"/>
        </w:rPr>
        <w:t>83.48%</w:t>
      </w:r>
      <w:r>
        <w:rPr>
          <w:rFonts w:hint="eastAsia"/>
        </w:rPr>
        <w:t>，工作满意度为</w:t>
      </w:r>
      <w:r>
        <w:rPr>
          <w:rFonts w:hint="eastAsia"/>
          <w:lang w:val="en-US"/>
        </w:rPr>
        <w:t>91.74%</w:t>
      </w:r>
      <w:r>
        <w:rPr>
          <w:rFonts w:hint="eastAsia"/>
        </w:rPr>
        <w:t>，职业期待吻合度为</w:t>
      </w:r>
      <w:r>
        <w:rPr>
          <w:rFonts w:hint="eastAsia"/>
          <w:color w:val="000000" w:themeColor="text1"/>
          <w:szCs w:val="24"/>
          <w14:textFill>
            <w14:solidFill>
              <w14:schemeClr w14:val="tx1"/>
            </w14:solidFill>
          </w14:textFill>
        </w:rPr>
        <w:t>88.58%</w:t>
      </w:r>
      <w:r>
        <w:rPr>
          <w:rFonts w:hint="eastAsia"/>
        </w:rPr>
        <w:t>。</w:t>
      </w:r>
    </w:p>
    <w:p>
      <w:r>
        <w:drawing>
          <wp:inline distT="0" distB="0" distL="0" distR="0">
            <wp:extent cx="5580380" cy="2619375"/>
            <wp:effectExtent l="0" t="0" r="0" b="60325"/>
            <wp:docPr id="25" name="图示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pPr>
        <w:pStyle w:val="180"/>
        <w:rPr>
          <w:bCs/>
          <w:color w:val="0F6FC6"/>
        </w:rPr>
      </w:pPr>
      <w:bookmarkStart w:id="23" w:name="_Toc521678780"/>
      <w:r>
        <w:rPr>
          <w:rFonts w:hint="eastAsia"/>
          <w:bCs/>
          <w:color w:val="0F6FC6"/>
        </w:rPr>
        <w:t xml:space="preserve">图 </w:t>
      </w:r>
      <w:r>
        <w:rPr>
          <w:bCs/>
          <w:color w:val="0F6FC6"/>
        </w:rPr>
        <w:fldChar w:fldCharType="begin"/>
      </w:r>
      <w:r>
        <w:rPr>
          <w:bCs/>
          <w:color w:val="0F6FC6"/>
        </w:rPr>
        <w:instrText xml:space="preserve"> </w:instrText>
      </w:r>
      <w:r>
        <w:rPr>
          <w:rFonts w:hint="eastAsia"/>
          <w:bCs/>
          <w:color w:val="0F6FC6"/>
        </w:rPr>
        <w:instrText xml:space="preserve">SEQ 图 \* ARABIC</w:instrText>
      </w:r>
      <w:r>
        <w:rPr>
          <w:bCs/>
          <w:color w:val="0F6FC6"/>
        </w:rPr>
        <w:instrText xml:space="preserve"> </w:instrText>
      </w:r>
      <w:r>
        <w:rPr>
          <w:bCs/>
          <w:color w:val="0F6FC6"/>
        </w:rPr>
        <w:fldChar w:fldCharType="separate"/>
      </w:r>
      <w:r>
        <w:rPr>
          <w:bCs/>
          <w:color w:val="0F6FC6"/>
        </w:rPr>
        <w:t>4</w:t>
      </w:r>
      <w:r>
        <w:rPr>
          <w:bCs/>
          <w:color w:val="0F6FC6"/>
        </w:rPr>
        <w:fldChar w:fldCharType="end"/>
      </w:r>
      <w:r>
        <w:t xml:space="preserve">   </w:t>
      </w:r>
      <w:r>
        <w:rPr>
          <w:bCs/>
          <w:color w:val="0F6FC6"/>
        </w:rPr>
        <w:t>2021届</w:t>
      </w:r>
      <w:r>
        <w:rPr>
          <w:rFonts w:hint="eastAsia"/>
          <w:bCs/>
          <w:color w:val="0F6FC6"/>
        </w:rPr>
        <w:t>专科毕业生就业质量</w:t>
      </w:r>
      <w:bookmarkEnd w:id="23"/>
    </w:p>
    <w:p>
      <w:pPr>
        <w:pStyle w:val="141"/>
        <w:rPr>
          <w:color w:val="0F6FC6" w:themeColor="accent5"/>
          <w14:textFill>
            <w14:solidFill>
              <w14:schemeClr w14:val="accent5"/>
            </w14:solidFill>
          </w14:textFill>
        </w:rPr>
      </w:pPr>
      <w:bookmarkStart w:id="24" w:name="_Toc520328885"/>
      <w:bookmarkStart w:id="25" w:name="_Toc80114282"/>
      <w:bookmarkStart w:id="26" w:name="_Toc92706702"/>
      <w:bookmarkStart w:id="27" w:name="_Toc521678781"/>
      <w:r>
        <w:rPr>
          <w:rFonts w:hint="eastAsia"/>
          <w:color w:val="0F6FC6" w:themeColor="accent5"/>
          <w14:textFill>
            <w14:solidFill>
              <w14:schemeClr w14:val="accent5"/>
            </w14:solidFill>
          </w14:textFill>
        </w:rPr>
        <w:t>四、</w:t>
      </w:r>
      <w:bookmarkEnd w:id="24"/>
      <w:r>
        <w:rPr>
          <w:rFonts w:hint="eastAsia"/>
          <w:color w:val="0F6FC6" w:themeColor="accent5"/>
          <w14:textFill>
            <w14:solidFill>
              <w14:schemeClr w14:val="accent5"/>
            </w14:solidFill>
          </w14:textFill>
        </w:rPr>
        <w:t>对人才培养的评价</w:t>
      </w:r>
      <w:bookmarkEnd w:id="25"/>
      <w:bookmarkEnd w:id="26"/>
    </w:p>
    <w:p>
      <w:pPr>
        <w:pStyle w:val="178"/>
        <w:spacing w:before="156"/>
        <w:ind w:firstLine="480"/>
      </w:pPr>
      <w:r>
        <w:t>2021届毕业生</w:t>
      </w:r>
      <w:r>
        <w:rPr>
          <w:rFonts w:hint="eastAsia"/>
        </w:rPr>
        <w:t>对</w:t>
      </w:r>
      <w:r>
        <w:t>母校</w:t>
      </w:r>
      <w:r>
        <w:rPr>
          <w:rFonts w:hint="eastAsia"/>
        </w:rPr>
        <w:t>的满意度</w:t>
      </w:r>
      <w:r>
        <w:t>为</w:t>
      </w:r>
      <w:r>
        <w:rPr>
          <w:rFonts w:hint="eastAsia"/>
        </w:rPr>
        <w:t>98.10%；对所学</w:t>
      </w:r>
      <w:r>
        <w:t>课程的</w:t>
      </w:r>
      <w:r>
        <w:rPr>
          <w:rFonts w:hint="eastAsia"/>
        </w:rPr>
        <w:t>总体</w:t>
      </w:r>
      <w:r>
        <w:t>满意度</w:t>
      </w:r>
      <w:r>
        <w:rPr>
          <w:rFonts w:hint="eastAsia"/>
        </w:rPr>
        <w:t>为92.66%，对任课教师的总体满意度为96.82%，对</w:t>
      </w:r>
      <w:r>
        <w:t>母校学风</w:t>
      </w:r>
      <w:r>
        <w:rPr>
          <w:rFonts w:hint="eastAsia"/>
        </w:rPr>
        <w:t>建设</w:t>
      </w:r>
      <w:r>
        <w:t>的</w:t>
      </w:r>
      <w:r>
        <w:rPr>
          <w:rFonts w:hint="eastAsia"/>
        </w:rPr>
        <w:t>总体满意度</w:t>
      </w:r>
      <w:r>
        <w:t>为</w:t>
      </w:r>
      <w:r>
        <w:rPr>
          <w:rFonts w:hint="eastAsia"/>
          <w:szCs w:val="24"/>
        </w:rPr>
        <w:t>94.79%</w:t>
      </w:r>
      <w:r>
        <w:rPr>
          <w:rFonts w:hint="eastAsia"/>
        </w:rPr>
        <w:t>，对课堂教学的</w:t>
      </w:r>
      <w:r>
        <w:t>总体满意度</w:t>
      </w:r>
      <w:r>
        <w:rPr>
          <w:rFonts w:hint="eastAsia"/>
        </w:rPr>
        <w:t>为96.26%，对实践教学的总体</w:t>
      </w:r>
      <w:r>
        <w:t>满意度</w:t>
      </w:r>
      <w:r>
        <w:rPr>
          <w:rFonts w:hint="eastAsia"/>
        </w:rPr>
        <w:t>为</w:t>
      </w:r>
      <w:r>
        <w:rPr>
          <w:rFonts w:hint="eastAsia"/>
          <w:color w:val="auto"/>
        </w:rPr>
        <w:t>93.42%</w:t>
      </w:r>
      <w:r>
        <w:rPr>
          <w:rFonts w:hint="eastAsia"/>
        </w:rPr>
        <w:t>。</w:t>
      </w:r>
    </w:p>
    <w:p>
      <w:pPr>
        <w:pStyle w:val="63"/>
        <w:spacing w:before="156" w:after="156"/>
        <w:ind w:firstLine="0" w:firstLineChars="0"/>
        <w:jc w:val="center"/>
        <w:rPr>
          <w:rFonts w:ascii="Times New Roman" w:hAnsi="Times New Roman"/>
        </w:rPr>
      </w:pPr>
      <w:r>
        <w:rPr>
          <w:rFonts w:hint="eastAsia"/>
          <w:color w:val="auto"/>
          <w:lang w:val="en-US"/>
        </w:rPr>
        <w:drawing>
          <wp:inline distT="0" distB="0" distL="0" distR="0">
            <wp:extent cx="5580380" cy="2143125"/>
            <wp:effectExtent l="0" t="0" r="0" b="3175"/>
            <wp:docPr id="451" name="图表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80"/>
        <w:rPr>
          <w:bCs/>
          <w:color w:val="0F6FC6"/>
        </w:rPr>
      </w:pPr>
      <w:r>
        <w:rPr>
          <w:rFonts w:hint="eastAsia"/>
          <w:bCs/>
          <w:color w:val="0F6FC6"/>
        </w:rPr>
        <w:t xml:space="preserve">图 </w:t>
      </w:r>
      <w:r>
        <w:rPr>
          <w:bCs/>
          <w:color w:val="0F6FC6"/>
        </w:rPr>
        <w:fldChar w:fldCharType="begin"/>
      </w:r>
      <w:r>
        <w:rPr>
          <w:bCs/>
          <w:color w:val="0F6FC6"/>
        </w:rPr>
        <w:instrText xml:space="preserve"> </w:instrText>
      </w:r>
      <w:r>
        <w:rPr>
          <w:rFonts w:hint="eastAsia"/>
          <w:bCs/>
          <w:color w:val="0F6FC6"/>
        </w:rPr>
        <w:instrText xml:space="preserve">SEQ 图 \* ARABIC</w:instrText>
      </w:r>
      <w:r>
        <w:rPr>
          <w:bCs/>
          <w:color w:val="0F6FC6"/>
        </w:rPr>
        <w:instrText xml:space="preserve"> </w:instrText>
      </w:r>
      <w:r>
        <w:rPr>
          <w:bCs/>
          <w:color w:val="0F6FC6"/>
        </w:rPr>
        <w:fldChar w:fldCharType="separate"/>
      </w:r>
      <w:r>
        <w:rPr>
          <w:bCs/>
          <w:color w:val="0F6FC6"/>
        </w:rPr>
        <w:t>5</w:t>
      </w:r>
      <w:r>
        <w:rPr>
          <w:bCs/>
          <w:color w:val="0F6FC6"/>
        </w:rPr>
        <w:fldChar w:fldCharType="end"/>
      </w:r>
      <w:r>
        <w:t xml:space="preserve">  </w:t>
      </w:r>
      <w:r>
        <w:rPr>
          <w:bCs/>
          <w:color w:val="0F6FC6"/>
        </w:rPr>
        <w:t>2021</w:t>
      </w:r>
      <w:r>
        <w:rPr>
          <w:rFonts w:hint="eastAsia"/>
          <w:bCs/>
          <w:color w:val="0F6FC6"/>
        </w:rPr>
        <w:t>届毕业生对人才培养的评价</w:t>
      </w:r>
      <w:bookmarkEnd w:id="27"/>
    </w:p>
    <w:p>
      <w:pPr>
        <w:pStyle w:val="180"/>
        <w:rPr>
          <w:bCs/>
          <w:color w:val="0F6FC6"/>
        </w:rPr>
      </w:pPr>
      <w:r>
        <w:rPr>
          <w:bCs/>
          <w:color w:val="0F6FC6"/>
        </w:rPr>
        <w:br w:type="page"/>
      </w:r>
    </w:p>
    <w:p>
      <w:pPr>
        <w:pStyle w:val="141"/>
        <w:rPr>
          <w:color w:val="0F6FC6" w:themeColor="accent5"/>
          <w14:textFill>
            <w14:solidFill>
              <w14:schemeClr w14:val="accent5"/>
            </w14:solidFill>
          </w14:textFill>
        </w:rPr>
      </w:pPr>
      <w:bookmarkStart w:id="28" w:name="_Toc520328886"/>
      <w:bookmarkStart w:id="29" w:name="_Toc92706703"/>
      <w:bookmarkStart w:id="30" w:name="_Toc80114283"/>
      <w:bookmarkStart w:id="31" w:name="_Toc521678782"/>
      <w:r>
        <w:rPr>
          <w:rFonts w:hint="eastAsia"/>
          <w:color w:val="0F6FC6" w:themeColor="accent5"/>
          <w14:textFill>
            <w14:solidFill>
              <w14:schemeClr w14:val="accent5"/>
            </w14:solidFill>
          </w14:textFill>
        </w:rPr>
        <w:t>五、</w:t>
      </w:r>
      <w:bookmarkEnd w:id="28"/>
      <w:r>
        <w:rPr>
          <w:rFonts w:hint="eastAsia"/>
          <w:color w:val="0F6FC6" w:themeColor="accent5"/>
          <w14:textFill>
            <w14:solidFill>
              <w14:schemeClr w14:val="accent5"/>
            </w14:solidFill>
          </w14:textFill>
        </w:rPr>
        <w:t>对就业教育/服务的评价</w:t>
      </w:r>
      <w:bookmarkEnd w:id="29"/>
      <w:bookmarkEnd w:id="30"/>
    </w:p>
    <w:p>
      <w:pPr>
        <w:pStyle w:val="178"/>
        <w:spacing w:before="156"/>
        <w:ind w:firstLine="480"/>
      </w:pPr>
      <w:r>
        <w:t>2021届</w:t>
      </w:r>
      <w:r>
        <w:rPr>
          <w:rFonts w:hint="eastAsia"/>
        </w:rPr>
        <w:t>毕业生对学校各项就业教育/服务的满意度均在92</w:t>
      </w:r>
      <w:r>
        <w:t>.00%</w:t>
      </w:r>
      <w:r>
        <w:rPr>
          <w:rFonts w:hint="eastAsia"/>
        </w:rPr>
        <w:t>以上；其中对“就业手续办理（如档案迁移等）”、“生涯规划/就业指导课”和“职业咨询与辅导”的满意度</w:t>
      </w:r>
      <w:r>
        <w:t>相对较高</w:t>
      </w:r>
      <w:r>
        <w:rPr>
          <w:rFonts w:hint="eastAsia"/>
        </w:rPr>
        <w:t>。</w:t>
      </w:r>
    </w:p>
    <w:p>
      <w:pPr>
        <w:pStyle w:val="178"/>
        <w:spacing w:before="156"/>
        <w:ind w:firstLine="0" w:firstLineChars="0"/>
        <w:jc w:val="center"/>
      </w:pPr>
      <w:r>
        <w:rPr>
          <w:rFonts w:hint="eastAsia"/>
          <w:lang w:val="en-US"/>
        </w:rPr>
        <w:drawing>
          <wp:inline distT="0" distB="0" distL="0" distR="0">
            <wp:extent cx="5682615" cy="3206115"/>
            <wp:effectExtent l="0" t="0" r="0" b="0"/>
            <wp:docPr id="1530" name="图表 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before="156" w:beforeLines="50" w:after="156" w:afterLines="50" w:line="360" w:lineRule="auto"/>
        <w:jc w:val="center"/>
        <w:rPr>
          <w:rFonts w:ascii="Times New Roman" w:hAnsi="Times New Roman" w:eastAsia="黑体"/>
          <w:b/>
          <w:caps/>
          <w:color w:val="0F6FC6"/>
          <w:sz w:val="21"/>
          <w:szCs w:val="36"/>
          <w:lang w:val="zh-CN"/>
        </w:rPr>
      </w:pPr>
      <w:bookmarkStart w:id="32" w:name="_Toc80114361"/>
      <w:r>
        <w:rPr>
          <w:rFonts w:hint="eastAsia" w:ascii="Times New Roman" w:hAnsi="Times New Roman" w:eastAsia="黑体"/>
          <w:b/>
          <w:bCs/>
          <w:color w:val="0F6FC6"/>
          <w:sz w:val="21"/>
          <w:szCs w:val="36"/>
          <w:lang w:val="zh-CN"/>
        </w:rPr>
        <w:t xml:space="preserve">图 </w:t>
      </w:r>
      <w:r>
        <w:rPr>
          <w:rFonts w:ascii="Times New Roman" w:hAnsi="Times New Roman" w:eastAsia="黑体"/>
          <w:b/>
          <w:bCs/>
          <w:color w:val="0F6FC6"/>
          <w:sz w:val="21"/>
          <w:szCs w:val="36"/>
          <w:lang w:val="zh-CN"/>
        </w:rPr>
        <w:fldChar w:fldCharType="begin"/>
      </w:r>
      <w:r>
        <w:rPr>
          <w:rFonts w:ascii="Times New Roman" w:hAnsi="Times New Roman" w:eastAsia="黑体"/>
          <w:b/>
          <w:bCs/>
          <w:color w:val="0F6FC6"/>
          <w:sz w:val="21"/>
          <w:szCs w:val="36"/>
          <w:lang w:val="zh-CN"/>
        </w:rPr>
        <w:instrText xml:space="preserve"> </w:instrText>
      </w:r>
      <w:r>
        <w:rPr>
          <w:rFonts w:hint="eastAsia" w:ascii="Times New Roman" w:hAnsi="Times New Roman" w:eastAsia="黑体"/>
          <w:b/>
          <w:bCs/>
          <w:color w:val="0F6FC6"/>
          <w:sz w:val="21"/>
          <w:szCs w:val="36"/>
          <w:lang w:val="zh-CN"/>
        </w:rPr>
        <w:instrText xml:space="preserve">SEQ 图 \* ARABIC</w:instrText>
      </w:r>
      <w:r>
        <w:rPr>
          <w:rFonts w:ascii="Times New Roman" w:hAnsi="Times New Roman" w:eastAsia="黑体"/>
          <w:b/>
          <w:bCs/>
          <w:color w:val="0F6FC6"/>
          <w:sz w:val="21"/>
          <w:szCs w:val="36"/>
          <w:lang w:val="zh-CN"/>
        </w:rPr>
        <w:instrText xml:space="preserve"> </w:instrText>
      </w:r>
      <w:r>
        <w:rPr>
          <w:rFonts w:ascii="Times New Roman" w:hAnsi="Times New Roman" w:eastAsia="黑体"/>
          <w:b/>
          <w:bCs/>
          <w:color w:val="0F6FC6"/>
          <w:sz w:val="21"/>
          <w:szCs w:val="36"/>
          <w:lang w:val="zh-CN"/>
        </w:rPr>
        <w:fldChar w:fldCharType="separate"/>
      </w:r>
      <w:r>
        <w:rPr>
          <w:rFonts w:ascii="Times New Roman" w:hAnsi="Times New Roman" w:eastAsia="黑体"/>
          <w:b/>
          <w:bCs/>
          <w:color w:val="0F6FC6"/>
          <w:sz w:val="21"/>
          <w:szCs w:val="36"/>
          <w:lang w:val="zh-CN"/>
        </w:rPr>
        <w:t>6</w:t>
      </w:r>
      <w:r>
        <w:rPr>
          <w:rFonts w:ascii="Times New Roman" w:hAnsi="Times New Roman" w:eastAsia="黑体"/>
          <w:b/>
          <w:bCs/>
          <w:color w:val="0F6FC6"/>
          <w:sz w:val="21"/>
          <w:szCs w:val="36"/>
          <w:lang w:val="zh-CN"/>
        </w:rPr>
        <w:fldChar w:fldCharType="end"/>
      </w:r>
      <w:r>
        <w:rPr>
          <w:rFonts w:ascii="Times New Roman" w:hAnsi="Times New Roman" w:eastAsia="黑体"/>
          <w:b/>
          <w:caps/>
          <w:color w:val="0F6FC6"/>
          <w:sz w:val="21"/>
          <w:szCs w:val="36"/>
          <w:lang w:val="zh-CN"/>
        </w:rPr>
        <w:t xml:space="preserve">  2021届毕业生对就业</w:t>
      </w:r>
      <w:r>
        <w:rPr>
          <w:rFonts w:hint="eastAsia" w:ascii="Times New Roman" w:hAnsi="Times New Roman" w:eastAsia="黑体"/>
          <w:b/>
          <w:caps/>
          <w:color w:val="0F6FC6"/>
          <w:sz w:val="21"/>
          <w:szCs w:val="36"/>
          <w:lang w:val="zh-CN"/>
        </w:rPr>
        <w:t>教育/服务</w:t>
      </w:r>
      <w:r>
        <w:rPr>
          <w:rFonts w:ascii="Times New Roman" w:hAnsi="Times New Roman" w:eastAsia="黑体"/>
          <w:b/>
          <w:caps/>
          <w:color w:val="0F6FC6"/>
          <w:sz w:val="21"/>
          <w:szCs w:val="36"/>
          <w:lang w:val="zh-CN"/>
        </w:rPr>
        <w:t>的评价</w:t>
      </w:r>
      <w:bookmarkEnd w:id="32"/>
    </w:p>
    <w:p>
      <w:pPr>
        <w:spacing w:before="156" w:beforeLines="50" w:after="156" w:afterLines="50" w:line="360" w:lineRule="auto"/>
        <w:jc w:val="center"/>
        <w:rPr>
          <w:rFonts w:ascii="Times New Roman" w:hAnsi="Times New Roman" w:eastAsia="黑体"/>
          <w:b/>
          <w:caps/>
          <w:color w:val="0F6FC6"/>
          <w:sz w:val="21"/>
          <w:szCs w:val="36"/>
          <w:lang w:val="zh-CN"/>
        </w:rPr>
      </w:pPr>
      <w:r>
        <w:rPr>
          <w:rFonts w:ascii="Times New Roman" w:hAnsi="Times New Roman" w:eastAsia="黑体"/>
          <w:b/>
          <w:caps/>
          <w:color w:val="0F6FC6"/>
          <w:sz w:val="21"/>
          <w:szCs w:val="36"/>
          <w:lang w:val="zh-CN"/>
        </w:rPr>
        <w:br w:type="page"/>
      </w:r>
    </w:p>
    <w:p>
      <w:pPr>
        <w:spacing w:before="156" w:beforeLines="50" w:after="156" w:afterLines="50" w:line="360" w:lineRule="auto"/>
        <w:jc w:val="center"/>
        <w:rPr>
          <w:rFonts w:ascii="Times New Roman" w:hAnsi="Times New Roman" w:eastAsia="黑体"/>
          <w:b/>
          <w:caps/>
          <w:color w:val="0F6FC6"/>
          <w:sz w:val="21"/>
          <w:szCs w:val="36"/>
          <w:lang w:val="zh-CN"/>
        </w:rPr>
      </w:pPr>
      <w:r>
        <w:rPr>
          <w:b/>
          <w:sz w:val="36"/>
        </w:rPr>
        <w:drawing>
          <wp:anchor distT="0" distB="0" distL="114300" distR="114300" simplePos="0" relativeHeight="251672576" behindDoc="0" locked="0" layoutInCell="1" allowOverlap="1">
            <wp:simplePos x="0" y="0"/>
            <wp:positionH relativeFrom="page">
              <wp:posOffset>-16510</wp:posOffset>
            </wp:positionH>
            <wp:positionV relativeFrom="paragraph">
              <wp:posOffset>-932180</wp:posOffset>
            </wp:positionV>
            <wp:extent cx="7588885" cy="10234295"/>
            <wp:effectExtent l="0" t="0" r="6350" b="1905"/>
            <wp:wrapNone/>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92774" cy="10240121"/>
                    </a:xfrm>
                    <a:prstGeom prst="rect">
                      <a:avLst/>
                    </a:prstGeom>
                  </pic:spPr>
                </pic:pic>
              </a:graphicData>
            </a:graphic>
          </wp:anchor>
        </w:drawing>
      </w:r>
      <w:r>
        <w:rPr>
          <w:rFonts w:eastAsia="黑体"/>
          <w:b/>
          <w:sz w:val="36"/>
          <w:szCs w:val="36"/>
        </w:rPr>
        <mc:AlternateContent>
          <mc:Choice Requires="wps">
            <w:drawing>
              <wp:anchor distT="0" distB="0" distL="114300" distR="114300" simplePos="0" relativeHeight="251673600" behindDoc="0" locked="0" layoutInCell="1" allowOverlap="1">
                <wp:simplePos x="0" y="0"/>
                <wp:positionH relativeFrom="page">
                  <wp:posOffset>-16510</wp:posOffset>
                </wp:positionH>
                <wp:positionV relativeFrom="paragraph">
                  <wp:posOffset>1528445</wp:posOffset>
                </wp:positionV>
                <wp:extent cx="7545705" cy="2343150"/>
                <wp:effectExtent l="0" t="0" r="0" b="0"/>
                <wp:wrapNone/>
                <wp:docPr id="549" name="文本框 549"/>
                <wp:cNvGraphicFramePr/>
                <a:graphic xmlns:a="http://schemas.openxmlformats.org/drawingml/2006/main">
                  <a:graphicData uri="http://schemas.microsoft.com/office/word/2010/wordprocessingShape">
                    <wps:wsp>
                      <wps:cNvSpPr txBox="1"/>
                      <wps:spPr bwMode="auto">
                        <a:xfrm>
                          <a:off x="0" y="0"/>
                          <a:ext cx="7545705" cy="2343150"/>
                        </a:xfrm>
                        <a:prstGeom prst="rect">
                          <a:avLst/>
                        </a:prstGeom>
                        <a:noFill/>
                        <a:ln>
                          <a:noFill/>
                        </a:ln>
                      </wps:spPr>
                      <wps:txbx>
                        <w:txbxContent>
                          <w:p>
                            <w:pPr>
                              <w:spacing w:line="360" w:lineRule="auto"/>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第一篇</w:t>
                            </w:r>
                          </w:p>
                          <w:p>
                            <w:pPr>
                              <w:spacing w:line="360" w:lineRule="auto"/>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毕业生供需情况</w:t>
                            </w:r>
                          </w:p>
                          <w:p>
                            <w:pPr>
                              <w:jc w:val="center"/>
                              <w:rPr>
                                <w:rFonts w:ascii="微软雅黑" w:hAnsi="微软雅黑" w:eastAsia="微软雅黑"/>
                                <w:b/>
                                <w:color w:val="4C659B"/>
                                <w:sz w:val="44"/>
                                <w:szCs w:val="36"/>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pt;margin-top:120.35pt;height:184.5pt;width:594.15pt;mso-position-horizontal-relative:page;z-index:251673600;mso-width-relative:page;mso-height-relative:page;" filled="f" stroked="f" coordsize="21600,21600" o:gfxdata="UEsDBAoAAAAAAIdO4kAAAAAAAAAAAAAAAAAEAAAAZHJzL1BLAwQUAAAACACHTuJATQjgjtgAAAAL&#10;AQAADwAAAGRycy9kb3ducmV2LnhtbE2PwU7DMAyG70i8Q2QkblvSauu2ru4OIK4gNkDiljVeW61x&#10;qiZby9uTneBmy59+f3+xm2wnrjT41jFCMlcgiCtnWq4RPg4vszUIHzQb3TkmhB/ysCvv7wqdGzfy&#10;O133oRYxhH2uEZoQ+lxKXzVktZ+7njjeTm6wOsR1qKUZ9BjDbSdTpTJpdcvxQ6N7emqoOu8vFuHz&#10;9fT9tVBv9bNd9qOblGS7kYiPD4naggg0hT8YbvpRHcrodHQXNl50CLM0iyRCulArEDcgWS/jdETI&#10;1GYFsizk/w7lL1BLAwQUAAAACACHTuJAYhQwiAACAADqAwAADgAAAGRycy9lMm9Eb2MueG1srVPN&#10;jtMwEL4j8Q6W7zRtt2V3o6YroFqExJ+08ACu4zSWYo8Zu03KA8AbcOLCnefqc+zYSUtZLnvgYo1n&#10;xt/M9814cdOZhu0Ueg224JPRmDNlJZTabgr++dPtsyvOfBC2FA1YVfC98vxm+fTJonW5mkINTamQ&#10;EYj1eesKXofg8izzslZG+BE4ZSlYARoR6IqbrETRErppsul4/DxrAUuHIJX35F31QT4g4mMAoaq0&#10;VCuQW6Ns6FFRNSIQJV9r5/kydVtVSoYPVeVVYE3BiWlIJxUhex3PbLkQ+QaFq7UcWhCPaeEBJyO0&#10;paInqJUIgm1R/wNltETwUIWRBJP1RJIixGIyfqDNXS2cSlxIau9Oovv/Byvf7z4i02XB57Nrzqww&#10;NPLDj++Hn78Pv76x6CSJWudzyrxzlBu6l9DR4hz9PjrX7Tso6aXYBkg6dBWaqAcxZJRNcu9Pcqsu&#10;MEnOy/lsfjmecyYpNr2YXUzmaSCZyI/PHfrwWoFh0Sg40jwTvNi99YEao9RjSqxm4VY3TZppY/9y&#10;UGL0ZJFJ7LjnFLp1N9BbQ7knIgj9itAHIaMG/MpZS+tRcP9lK1Bx1ryxpP/1ZDaL+5QuRGNKFzyP&#10;rM8jwkqCKnjgrDdfhX4Htw71pqZKk0TLwgsSsNKJWmy172rom1YgMR7WNe7Y+T1l/fmi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COCO2AAAAAsBAAAPAAAAAAAAAAEAIAAAACIAAABkcnMvZG93&#10;bnJldi54bWxQSwECFAAUAAAACACHTuJAYhQwiAACAADqAwAADgAAAAAAAAABACAAAAAnAQAAZHJz&#10;L2Uyb0RvYy54bWxQSwUGAAAAAAYABgBZAQAAmQUAAAAA&#10;">
                <v:fill on="f" focussize="0,0"/>
                <v:stroke on="f"/>
                <v:imagedata o:title=""/>
                <o:lock v:ext="edit" aspectratio="f"/>
                <v:textbox>
                  <w:txbxContent>
                    <w:p>
                      <w:pPr>
                        <w:spacing w:line="360" w:lineRule="auto"/>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第一篇</w:t>
                      </w:r>
                    </w:p>
                    <w:p>
                      <w:pPr>
                        <w:spacing w:line="360" w:lineRule="auto"/>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毕业生供需情况</w:t>
                      </w:r>
                    </w:p>
                    <w:p>
                      <w:pPr>
                        <w:jc w:val="center"/>
                        <w:rPr>
                          <w:rFonts w:ascii="微软雅黑" w:hAnsi="微软雅黑" w:eastAsia="微软雅黑"/>
                          <w:b/>
                          <w:color w:val="4C659B"/>
                          <w:sz w:val="44"/>
                          <w:szCs w:val="36"/>
                        </w:rPr>
                      </w:pPr>
                    </w:p>
                  </w:txbxContent>
                </v:textbox>
              </v:shape>
            </w:pict>
          </mc:Fallback>
        </mc:AlternateContent>
      </w:r>
      <w:r>
        <w:rPr>
          <w:rFonts w:ascii="Times New Roman" w:hAnsi="Times New Roman" w:eastAsia="黑体"/>
          <w:b/>
          <w:caps/>
          <w:color w:val="0F6FC6"/>
          <w:sz w:val="21"/>
          <w:szCs w:val="36"/>
          <w:lang w:val="zh-CN"/>
        </w:rPr>
        <w:br w:type="page"/>
      </w:r>
    </w:p>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33" w:name="_Toc82010481"/>
      <w:bookmarkStart w:id="34" w:name="_Toc92706704"/>
      <w:r>
        <w:rPr>
          <w:rFonts w:hint="eastAsia" w:ascii="Calibri" w:hAnsi="Calibri" w:eastAsia="黑体"/>
          <w:b/>
          <w:caps/>
          <w:color w:val="FFFFFF"/>
          <w:sz w:val="32"/>
          <w:szCs w:val="32"/>
        </w:rPr>
        <w:t>第一篇：毕业生供需情况</w:t>
      </w:r>
      <w:bookmarkEnd w:id="33"/>
      <w:bookmarkEnd w:id="34"/>
    </w:p>
    <w:p>
      <w:pPr>
        <w:pStyle w:val="141"/>
        <w:rPr>
          <w:color w:val="0F6FC6" w:themeColor="accent5"/>
          <w14:textFill>
            <w14:solidFill>
              <w14:schemeClr w14:val="accent5"/>
            </w14:solidFill>
          </w14:textFill>
        </w:rPr>
      </w:pPr>
      <w:bookmarkStart w:id="35" w:name="_Toc92706705"/>
      <w:bookmarkStart w:id="36" w:name="_Toc82010482"/>
      <w:r>
        <w:rPr>
          <w:rFonts w:hint="eastAsia"/>
          <w:color w:val="0F6FC6" w:themeColor="accent5"/>
          <w14:textFill>
            <w14:solidFill>
              <w14:schemeClr w14:val="accent5"/>
            </w14:solidFill>
          </w14:textFill>
        </w:rPr>
        <w:t>一、规模和结构</w:t>
      </w:r>
      <w:bookmarkEnd w:id="35"/>
      <w:bookmarkEnd w:id="36"/>
    </w:p>
    <w:p>
      <w:pPr>
        <w:spacing w:line="360" w:lineRule="auto"/>
        <w:ind w:firstLine="480" w:firstLineChars="200"/>
        <w:jc w:val="both"/>
      </w:pPr>
      <w:bookmarkStart w:id="37" w:name="_Toc520907384"/>
      <w:r>
        <w:rPr>
          <w:rFonts w:hint="eastAsia"/>
        </w:rPr>
        <w:t>经济发展状况决定了社会就业容量的大小</w:t>
      </w:r>
      <w:r>
        <w:t>,</w:t>
      </w:r>
      <w:r>
        <w:rPr>
          <w:rFonts w:hint="eastAsia"/>
        </w:rPr>
        <w:t>只有高校人才培养规模及结构与社会经济发展水平相适应，才能确保毕业生更充分更高质量就业。分析毕业生规模及结构，对于优化高校人才培养规模及专业学科设置，实现</w:t>
      </w:r>
      <w:r>
        <w:t>人才培养规模与市场行业需求相对接</w:t>
      </w:r>
      <w:r>
        <w:rPr>
          <w:rFonts w:hint="eastAsia"/>
        </w:rPr>
        <w:t>有重要的参考意义。</w:t>
      </w:r>
    </w:p>
    <w:p>
      <w:pPr>
        <w:pStyle w:val="151"/>
        <w:rPr>
          <w:color w:val="0F6FC6" w:themeColor="accent5"/>
          <w14:textFill>
            <w14:solidFill>
              <w14:schemeClr w14:val="accent5"/>
            </w14:solidFill>
          </w14:textFill>
        </w:rPr>
      </w:pPr>
      <w:bookmarkStart w:id="38" w:name="_Toc82010483"/>
      <w:bookmarkStart w:id="39" w:name="_Toc92706706"/>
      <w:r>
        <w:rPr>
          <w:rFonts w:hint="eastAsia"/>
          <w:color w:val="0F6FC6" w:themeColor="accent5"/>
          <w14:textFill>
            <w14:solidFill>
              <w14:schemeClr w14:val="accent5"/>
            </w14:solidFill>
          </w14:textFill>
        </w:rPr>
        <w:t>（一）总体规模</w:t>
      </w:r>
      <w:bookmarkEnd w:id="37"/>
      <w:bookmarkEnd w:id="38"/>
      <w:bookmarkEnd w:id="39"/>
    </w:p>
    <w:p>
      <w:pPr>
        <w:pStyle w:val="178"/>
        <w:spacing w:before="156"/>
        <w:ind w:firstLine="480"/>
      </w:pPr>
      <w:r>
        <w:rPr>
          <w:rFonts w:hint="eastAsia"/>
        </w:rPr>
        <w:t>学校</w:t>
      </w:r>
      <w:r>
        <w:t>2021届毕业生共</w:t>
      </w:r>
      <w:r>
        <w:rPr>
          <w:rFonts w:hint="eastAsia"/>
        </w:rPr>
        <w:t>4648</w:t>
      </w:r>
      <w:r>
        <w:t>人，其中本科毕业生</w:t>
      </w:r>
      <w:r>
        <w:rPr>
          <w:rFonts w:hint="eastAsia"/>
        </w:rPr>
        <w:t>2888</w:t>
      </w:r>
      <w:r>
        <w:t>人，占毕业生总人数的</w:t>
      </w:r>
      <w:r>
        <w:rPr>
          <w:rFonts w:hint="eastAsia"/>
        </w:rPr>
        <w:t>62.13%</w:t>
      </w:r>
      <w:r>
        <w:t>；专科毕业生</w:t>
      </w:r>
      <w:r>
        <w:rPr>
          <w:rFonts w:hint="eastAsia"/>
        </w:rPr>
        <w:t>1760</w:t>
      </w:r>
      <w:r>
        <w:t>人，占毕业生总人数的</w:t>
      </w:r>
      <w:r>
        <w:rPr>
          <w:rFonts w:hint="eastAsia"/>
        </w:rPr>
        <w:t>37.87%</w:t>
      </w:r>
      <w:r>
        <w:t>。</w:t>
      </w:r>
    </w:p>
    <w:p>
      <w:pPr>
        <w:jc w:val="center"/>
      </w:pPr>
      <w:r>
        <w:drawing>
          <wp:inline distT="0" distB="0" distL="0" distR="0">
            <wp:extent cx="4962525" cy="1762125"/>
            <wp:effectExtent l="0" t="0" r="0" b="0"/>
            <wp:docPr id="52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18"/>
        <w:spacing w:before="156" w:after="156"/>
      </w:pPr>
      <w:bookmarkStart w:id="40" w:name="_Toc521678784"/>
      <w:r>
        <w:t xml:space="preserve">图1- </w:t>
      </w:r>
      <w:r>
        <w:fldChar w:fldCharType="begin"/>
      </w:r>
      <w:r>
        <w:instrText xml:space="preserve"> SEQ 图1- \* ARABIC </w:instrText>
      </w:r>
      <w:r>
        <w:fldChar w:fldCharType="separate"/>
      </w:r>
      <w:r>
        <w:t>1</w:t>
      </w:r>
      <w:r>
        <w:fldChar w:fldCharType="end"/>
      </w:r>
      <w:r>
        <w:rPr>
          <w:rStyle w:val="37"/>
          <w:b/>
          <w:bCs w:val="0"/>
        </w:rPr>
        <w:t xml:space="preserve">  </w:t>
      </w:r>
      <w:r>
        <w:t>2021届</w:t>
      </w:r>
      <w:r>
        <w:rPr>
          <w:rFonts w:hint="eastAsia"/>
        </w:rPr>
        <w:t>毕业生总体及各学历规模</w:t>
      </w:r>
      <w:bookmarkEnd w:id="40"/>
      <w:r>
        <w:rPr>
          <w:rFonts w:hint="eastAsia"/>
        </w:rPr>
        <w:t>（单位:人）</w:t>
      </w:r>
    </w:p>
    <w:p>
      <w:pPr>
        <w:pStyle w:val="180"/>
        <w:rPr>
          <w:rStyle w:val="37"/>
          <w:b/>
          <w:bCs w:val="0"/>
        </w:rPr>
      </w:pPr>
      <w:r>
        <w:rPr>
          <w:lang w:val="en-US"/>
        </w:rPr>
        <w:drawing>
          <wp:inline distT="0" distB="0" distL="0" distR="0">
            <wp:extent cx="3617595" cy="1771650"/>
            <wp:effectExtent l="0" t="0" r="1905" b="0"/>
            <wp:docPr id="1531" name="图表 1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18"/>
        <w:spacing w:before="156" w:after="156"/>
      </w:pPr>
      <w:r>
        <w:t xml:space="preserve">图1- </w:t>
      </w:r>
      <w:r>
        <w:fldChar w:fldCharType="begin"/>
      </w:r>
      <w:r>
        <w:instrText xml:space="preserve"> SEQ 图1- \* ARABIC </w:instrText>
      </w:r>
      <w:r>
        <w:fldChar w:fldCharType="separate"/>
      </w:r>
      <w:r>
        <w:t>2</w:t>
      </w:r>
      <w:r>
        <w:fldChar w:fldCharType="end"/>
      </w:r>
      <w:r>
        <w:rPr>
          <w:rStyle w:val="37"/>
          <w:b/>
          <w:bCs w:val="0"/>
        </w:rPr>
        <w:t xml:space="preserve">  </w:t>
      </w:r>
      <w:r>
        <w:t>2021届</w:t>
      </w:r>
      <w:r>
        <w:rPr>
          <w:rFonts w:hint="eastAsia"/>
        </w:rPr>
        <w:t>毕业生学历分布</w:t>
      </w:r>
    </w:p>
    <w:p>
      <w:pPr>
        <w:pStyle w:val="118"/>
        <w:ind w:firstLine="360"/>
        <w:rPr>
          <w:color w:val="0070C0"/>
        </w:rPr>
      </w:pPr>
      <w:r>
        <w:rPr>
          <w:rFonts w:hint="eastAsia"/>
          <w:color w:val="0070C0"/>
        </w:rPr>
        <w:t>数据来源：湖北省高校毕业生就业办公系统。</w:t>
      </w:r>
    </w:p>
    <w:p>
      <w:pPr>
        <w:pStyle w:val="151"/>
        <w:rPr>
          <w:color w:val="0F6FC6" w:themeColor="accent5"/>
          <w14:textFill>
            <w14:solidFill>
              <w14:schemeClr w14:val="accent5"/>
            </w14:solidFill>
          </w14:textFill>
        </w:rPr>
      </w:pPr>
      <w:bookmarkStart w:id="41" w:name="_Toc82010484"/>
      <w:bookmarkStart w:id="42" w:name="_Toc92706707"/>
      <w:bookmarkStart w:id="43" w:name="_Toc520907385"/>
      <w:r>
        <w:rPr>
          <w:rFonts w:hint="eastAsia"/>
          <w:color w:val="0F6FC6" w:themeColor="accent5"/>
          <w14:textFill>
            <w14:solidFill>
              <w14:schemeClr w14:val="accent5"/>
            </w14:solidFill>
          </w14:textFill>
        </w:rPr>
        <w:t>（二）学科结构</w:t>
      </w:r>
      <w:bookmarkEnd w:id="41"/>
      <w:bookmarkEnd w:id="42"/>
    </w:p>
    <w:p>
      <w:pPr>
        <w:spacing w:line="360" w:lineRule="auto"/>
        <w:ind w:firstLine="480" w:firstLineChars="200"/>
        <w:jc w:val="both"/>
        <w:rPr>
          <w:rFonts w:asciiTheme="minorEastAsia" w:hAnsiTheme="minorEastAsia"/>
        </w:rPr>
      </w:pPr>
      <w:r>
        <w:rPr>
          <w:rFonts w:hint="eastAsia" w:asciiTheme="minorEastAsia" w:hAnsiTheme="minorEastAsia"/>
          <w:b/>
          <w:color w:val="0F6FC6" w:themeColor="accent5"/>
          <w14:textFill>
            <w14:solidFill>
              <w14:schemeClr w14:val="accent5"/>
            </w14:solidFill>
          </w14:textFill>
        </w:rPr>
        <w:t>本科毕业生</w:t>
      </w:r>
      <w:r>
        <w:rPr>
          <w:rFonts w:asciiTheme="minorEastAsia" w:hAnsiTheme="minorEastAsia"/>
          <w:b/>
          <w:color w:val="0F6FC6" w:themeColor="accent5"/>
          <w14:textFill>
            <w14:solidFill>
              <w14:schemeClr w14:val="accent5"/>
            </w14:solidFill>
          </w14:textFill>
        </w:rPr>
        <w:t>：</w:t>
      </w:r>
      <w:r>
        <w:rPr>
          <w:rFonts w:hint="eastAsia" w:asciiTheme="minorEastAsia" w:hAnsiTheme="minorEastAsia"/>
        </w:rPr>
        <w:t>学校</w:t>
      </w:r>
      <w:r>
        <w:rPr>
          <w:rFonts w:ascii="Times New Roman" w:hAnsi="Times New Roman"/>
        </w:rPr>
        <w:t>2021届</w:t>
      </w:r>
      <w:r>
        <w:rPr>
          <w:rFonts w:asciiTheme="minorEastAsia" w:hAnsiTheme="minorEastAsia"/>
        </w:rPr>
        <w:t>本科毕业生</w:t>
      </w:r>
      <w:r>
        <w:rPr>
          <w:rFonts w:hint="eastAsia" w:asciiTheme="minorEastAsia" w:hAnsiTheme="minorEastAsia"/>
        </w:rPr>
        <w:t>涵盖了</w:t>
      </w:r>
      <w:r>
        <w:rPr>
          <w:rFonts w:ascii="Times New Roman" w:hAnsi="Times New Roman"/>
        </w:rPr>
        <w:t>工学、医学、教育学、艺术学、文学、管理学、理学和农学</w:t>
      </w:r>
      <w:r>
        <w:rPr>
          <w:rFonts w:hint="eastAsia" w:ascii="Times New Roman" w:hAnsi="Times New Roman"/>
        </w:rPr>
        <w:t>8</w:t>
      </w:r>
      <w:r>
        <w:rPr>
          <w:rFonts w:hint="eastAsia" w:asciiTheme="minorEastAsia" w:hAnsiTheme="minorEastAsia"/>
        </w:rPr>
        <w:t>种学科门类；</w:t>
      </w:r>
      <w:r>
        <w:rPr>
          <w:rFonts w:asciiTheme="minorEastAsia" w:hAnsiTheme="minorEastAsia"/>
        </w:rPr>
        <w:t>其中以</w:t>
      </w:r>
      <w:r>
        <w:rPr>
          <w:rFonts w:ascii="Times New Roman" w:hAnsi="Times New Roman"/>
        </w:rPr>
        <w:t>工学和医学</w:t>
      </w:r>
      <w:r>
        <w:rPr>
          <w:rFonts w:hint="eastAsia" w:asciiTheme="minorEastAsia" w:hAnsiTheme="minorEastAsia"/>
        </w:rPr>
        <w:t>为</w:t>
      </w:r>
      <w:r>
        <w:rPr>
          <w:rFonts w:asciiTheme="minorEastAsia" w:hAnsiTheme="minorEastAsia"/>
        </w:rPr>
        <w:t>主</w:t>
      </w:r>
      <w:r>
        <w:rPr>
          <w:rFonts w:hint="eastAsia" w:asciiTheme="minorEastAsia" w:hAnsiTheme="minorEastAsia"/>
        </w:rPr>
        <w:t>，占比分别为</w:t>
      </w:r>
      <w:r>
        <w:rPr>
          <w:rFonts w:hint="eastAsia" w:ascii="Times New Roman" w:hAnsi="Times New Roman"/>
        </w:rPr>
        <w:t>33.52%</w:t>
      </w:r>
      <w:r>
        <w:rPr>
          <w:rFonts w:hint="eastAsia" w:asciiTheme="minorEastAsia" w:hAnsiTheme="minorEastAsia"/>
        </w:rPr>
        <w:t>和</w:t>
      </w:r>
      <w:r>
        <w:rPr>
          <w:rFonts w:hint="eastAsia" w:ascii="Times New Roman" w:hAnsi="Times New Roman"/>
        </w:rPr>
        <w:t>15.86%</w:t>
      </w:r>
      <w:r>
        <w:rPr>
          <w:rFonts w:hint="eastAsia" w:asciiTheme="minorEastAsia" w:hAnsiTheme="minorEastAsia"/>
        </w:rPr>
        <w:t>。从其</w:t>
      </w:r>
      <w:r>
        <w:rPr>
          <w:rFonts w:asciiTheme="minorEastAsia" w:hAnsiTheme="minorEastAsia"/>
        </w:rPr>
        <w:t>性别构成来看，</w:t>
      </w:r>
      <w:r>
        <w:rPr>
          <w:rFonts w:ascii="Times New Roman" w:hAnsi="Times New Roman"/>
        </w:rPr>
        <w:t>工学、医学</w:t>
      </w:r>
      <w:r>
        <w:rPr>
          <w:rFonts w:hint="eastAsia" w:asciiTheme="minorEastAsia" w:hAnsiTheme="minorEastAsia"/>
        </w:rPr>
        <w:t>男女性别比</w:t>
      </w:r>
      <w:r>
        <w:rPr>
          <w:rFonts w:asciiTheme="minorEastAsia" w:hAnsiTheme="minorEastAsia"/>
        </w:rPr>
        <w:t>分别为</w:t>
      </w:r>
      <w:r>
        <w:rPr>
          <w:rFonts w:hint="eastAsia" w:ascii="Times New Roman" w:hAnsi="Times New Roman"/>
        </w:rPr>
        <w:t>2.35:1</w:t>
      </w:r>
      <w:r>
        <w:rPr>
          <w:rFonts w:hint="eastAsia" w:asciiTheme="minorEastAsia" w:hAnsiTheme="minorEastAsia"/>
        </w:rPr>
        <w:t>和</w:t>
      </w:r>
      <w:r>
        <w:rPr>
          <w:rFonts w:hint="eastAsia" w:ascii="Times New Roman" w:hAnsi="Times New Roman"/>
        </w:rPr>
        <w:t>0.52:1</w:t>
      </w:r>
      <w:r>
        <w:rPr>
          <w:rFonts w:hint="eastAsia" w:asciiTheme="minorEastAsia" w:hAnsiTheme="minorEastAsia"/>
        </w:rPr>
        <w:t>。</w:t>
      </w:r>
    </w:p>
    <w:p>
      <w:pPr>
        <w:pStyle w:val="218"/>
        <w:spacing w:before="156" w:after="156"/>
      </w:pPr>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1</w:t>
      </w:r>
      <w:r>
        <w:fldChar w:fldCharType="end"/>
      </w:r>
      <w:r>
        <w:t xml:space="preserve">  </w:t>
      </w:r>
      <w:r>
        <w:rPr>
          <w:rFonts w:hint="eastAsia" w:eastAsia="宋体"/>
        </w:rPr>
        <w:t>2021</w:t>
      </w:r>
      <w:r>
        <w:rPr>
          <w:rFonts w:hint="eastAsia"/>
        </w:rPr>
        <w:t>届本科毕业生的学科门类分布</w:t>
      </w:r>
    </w:p>
    <w:tbl>
      <w:tblPr>
        <w:tblStyle w:val="128"/>
        <w:tblW w:w="4887" w:type="pct"/>
        <w:jc w:val="cente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950"/>
        <w:gridCol w:w="1936"/>
        <w:gridCol w:w="1101"/>
        <w:gridCol w:w="1102"/>
        <w:gridCol w:w="1236"/>
        <w:gridCol w:w="1150"/>
        <w:gridCol w:w="1327"/>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tblHeader/>
          <w:jc w:val="center"/>
        </w:trPr>
        <w:tc>
          <w:tcPr>
            <w:tcW w:w="926" w:type="dxa"/>
            <w:vMerge w:val="restart"/>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85"/>
              <w:widowControl/>
              <w:rPr>
                <w:b/>
                <w:bCs w:val="0"/>
                <w:color w:val="000000"/>
              </w:rPr>
            </w:pPr>
            <w:r>
              <w:rPr>
                <w:b/>
                <w:bCs w:val="0"/>
                <w:color w:val="FFFFFF" w:themeColor="background1"/>
                <w14:textFill>
                  <w14:solidFill>
                    <w14:schemeClr w14:val="bg1"/>
                  </w14:solidFill>
                </w14:textFill>
              </w:rPr>
              <w:t>序号</w:t>
            </w:r>
          </w:p>
        </w:tc>
        <w:tc>
          <w:tcPr>
            <w:tcW w:w="4034" w:type="dxa"/>
            <w:gridSpan w:val="3"/>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85"/>
              <w:widowControl/>
              <w:rPr>
                <w:b/>
                <w:bCs w:val="0"/>
                <w:color w:val="000000"/>
              </w:rPr>
            </w:pPr>
            <w:r>
              <w:rPr>
                <w:b/>
                <w:bCs w:val="0"/>
                <w:color w:val="FFFFFF" w:themeColor="background1"/>
                <w14:textFill>
                  <w14:solidFill>
                    <w14:schemeClr w14:val="bg1"/>
                  </w14:solidFill>
                </w14:textFill>
              </w:rPr>
              <w:t>学科构成</w:t>
            </w:r>
          </w:p>
        </w:tc>
        <w:tc>
          <w:tcPr>
            <w:tcW w:w="3620" w:type="dxa"/>
            <w:gridSpan w:val="3"/>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pStyle w:val="185"/>
              <w:widowControl/>
              <w:rPr>
                <w:b/>
                <w:bCs w:val="0"/>
                <w:color w:val="000000"/>
              </w:rPr>
            </w:pPr>
            <w:r>
              <w:rPr>
                <w:b/>
                <w:bCs w:val="0"/>
                <w:color w:val="FFFFFF" w:themeColor="background1"/>
                <w14:textFill>
                  <w14:solidFill>
                    <w14:schemeClr w14:val="bg1"/>
                  </w14:solidFill>
                </w14:textFill>
              </w:rPr>
              <w:t>性别构成</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vMerge w:val="continue"/>
            <w:shd w:val="clear" w:color="auto" w:fill="C7E2FA" w:themeFill="accent1" w:themeFillTint="33"/>
            <w:vAlign w:val="center"/>
          </w:tcPr>
          <w:p>
            <w:pPr>
              <w:pStyle w:val="185"/>
              <w:widowControl/>
              <w:rPr>
                <w:color w:val="000000"/>
              </w:rPr>
            </w:pPr>
          </w:p>
        </w:tc>
        <w:tc>
          <w:tcPr>
            <w:tcW w:w="1887" w:type="dxa"/>
            <w:shd w:val="clear" w:color="auto" w:fill="C7E2FA" w:themeFill="accent1" w:themeFillTint="33"/>
            <w:vAlign w:val="center"/>
          </w:tcPr>
          <w:p>
            <w:pPr>
              <w:pStyle w:val="185"/>
              <w:widowControl/>
              <w:rPr>
                <w:color w:val="000000"/>
              </w:rPr>
            </w:pPr>
            <w:r>
              <w:t>学科门类</w:t>
            </w:r>
          </w:p>
        </w:tc>
        <w:tc>
          <w:tcPr>
            <w:tcW w:w="1073" w:type="dxa"/>
            <w:shd w:val="clear" w:color="auto" w:fill="C7E2FA" w:themeFill="accent1" w:themeFillTint="33"/>
            <w:vAlign w:val="center"/>
          </w:tcPr>
          <w:p>
            <w:pPr>
              <w:pStyle w:val="185"/>
              <w:widowControl/>
              <w:rPr>
                <w:color w:val="000000"/>
              </w:rPr>
            </w:pPr>
            <w:r>
              <w:t>人数</w:t>
            </w:r>
          </w:p>
        </w:tc>
        <w:tc>
          <w:tcPr>
            <w:tcW w:w="1074" w:type="dxa"/>
            <w:shd w:val="clear" w:color="auto" w:fill="C7E2FA" w:themeFill="accent1" w:themeFillTint="33"/>
            <w:vAlign w:val="center"/>
          </w:tcPr>
          <w:p>
            <w:pPr>
              <w:pStyle w:val="185"/>
              <w:widowControl/>
              <w:rPr>
                <w:color w:val="000000"/>
              </w:rPr>
            </w:pPr>
            <w:r>
              <w:t>比例</w:t>
            </w:r>
          </w:p>
        </w:tc>
        <w:tc>
          <w:tcPr>
            <w:tcW w:w="1205" w:type="dxa"/>
            <w:shd w:val="clear" w:color="auto" w:fill="C7E2FA" w:themeFill="accent1" w:themeFillTint="33"/>
            <w:vAlign w:val="center"/>
          </w:tcPr>
          <w:p>
            <w:pPr>
              <w:pStyle w:val="185"/>
              <w:widowControl/>
              <w:rPr>
                <w:color w:val="000000"/>
              </w:rPr>
            </w:pPr>
            <w:r>
              <w:t>男生人数</w:t>
            </w:r>
          </w:p>
        </w:tc>
        <w:tc>
          <w:tcPr>
            <w:tcW w:w="1121" w:type="dxa"/>
            <w:shd w:val="clear" w:color="auto" w:fill="C7E2FA" w:themeFill="accent1" w:themeFillTint="33"/>
            <w:vAlign w:val="center"/>
          </w:tcPr>
          <w:p>
            <w:pPr>
              <w:pStyle w:val="185"/>
              <w:widowControl/>
              <w:rPr>
                <w:color w:val="000000"/>
              </w:rPr>
            </w:pPr>
            <w:r>
              <w:t>女生人数</w:t>
            </w:r>
          </w:p>
        </w:tc>
        <w:tc>
          <w:tcPr>
            <w:tcW w:w="1294" w:type="dxa"/>
            <w:shd w:val="clear" w:color="auto" w:fill="C7E2FA" w:themeFill="accent1" w:themeFillTint="33"/>
            <w:vAlign w:val="center"/>
          </w:tcPr>
          <w:p>
            <w:pPr>
              <w:pStyle w:val="185"/>
              <w:widowControl/>
              <w:rPr>
                <w:color w:val="000000"/>
              </w:rPr>
            </w:pPr>
            <w:r>
              <w:t>男女性别比</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vAlign w:val="center"/>
          </w:tcPr>
          <w:p>
            <w:pPr>
              <w:pStyle w:val="185"/>
              <w:widowControl/>
            </w:pPr>
            <w:r>
              <w:t>1</w:t>
            </w:r>
          </w:p>
        </w:tc>
        <w:tc>
          <w:tcPr>
            <w:tcW w:w="1887" w:type="dxa"/>
            <w:vAlign w:val="center"/>
          </w:tcPr>
          <w:p>
            <w:pPr>
              <w:pStyle w:val="185"/>
              <w:widowControl/>
            </w:pPr>
            <w:r>
              <w:t>工学</w:t>
            </w:r>
          </w:p>
        </w:tc>
        <w:tc>
          <w:tcPr>
            <w:tcW w:w="1073" w:type="dxa"/>
            <w:vAlign w:val="center"/>
          </w:tcPr>
          <w:p>
            <w:pPr>
              <w:pStyle w:val="185"/>
              <w:widowControl/>
            </w:pPr>
            <w:r>
              <w:t>968</w:t>
            </w:r>
          </w:p>
        </w:tc>
        <w:tc>
          <w:tcPr>
            <w:tcW w:w="1074" w:type="dxa"/>
            <w:vAlign w:val="center"/>
          </w:tcPr>
          <w:p>
            <w:pPr>
              <w:pStyle w:val="185"/>
              <w:widowControl/>
            </w:pPr>
            <w:r>
              <w:t>33.52%</w:t>
            </w:r>
          </w:p>
        </w:tc>
        <w:tc>
          <w:tcPr>
            <w:tcW w:w="1205" w:type="dxa"/>
            <w:vAlign w:val="center"/>
          </w:tcPr>
          <w:p>
            <w:pPr>
              <w:pStyle w:val="185"/>
              <w:widowControl/>
            </w:pPr>
            <w:r>
              <w:t>679</w:t>
            </w:r>
          </w:p>
        </w:tc>
        <w:tc>
          <w:tcPr>
            <w:tcW w:w="1121" w:type="dxa"/>
            <w:vAlign w:val="center"/>
          </w:tcPr>
          <w:p>
            <w:pPr>
              <w:pStyle w:val="185"/>
              <w:widowControl/>
            </w:pPr>
            <w:r>
              <w:t>289</w:t>
            </w:r>
          </w:p>
        </w:tc>
        <w:tc>
          <w:tcPr>
            <w:tcW w:w="1294" w:type="dxa"/>
            <w:vAlign w:val="center"/>
          </w:tcPr>
          <w:p>
            <w:pPr>
              <w:pStyle w:val="185"/>
              <w:widowControl/>
            </w:pPr>
            <w:r>
              <w:t>2.35:1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shd w:val="clear" w:color="auto" w:fill="C7E2FA" w:themeFill="accent1" w:themeFillTint="33"/>
            <w:vAlign w:val="center"/>
          </w:tcPr>
          <w:p>
            <w:pPr>
              <w:pStyle w:val="185"/>
              <w:widowControl/>
            </w:pPr>
            <w:r>
              <w:t>2</w:t>
            </w:r>
          </w:p>
        </w:tc>
        <w:tc>
          <w:tcPr>
            <w:tcW w:w="1887" w:type="dxa"/>
            <w:shd w:val="clear" w:color="auto" w:fill="C7E2FA" w:themeFill="accent1" w:themeFillTint="33"/>
            <w:vAlign w:val="center"/>
          </w:tcPr>
          <w:p>
            <w:pPr>
              <w:pStyle w:val="185"/>
              <w:widowControl/>
            </w:pPr>
            <w:r>
              <w:t>医学</w:t>
            </w:r>
          </w:p>
        </w:tc>
        <w:tc>
          <w:tcPr>
            <w:tcW w:w="1073" w:type="dxa"/>
            <w:shd w:val="clear" w:color="auto" w:fill="C7E2FA" w:themeFill="accent1" w:themeFillTint="33"/>
            <w:vAlign w:val="center"/>
          </w:tcPr>
          <w:p>
            <w:pPr>
              <w:pStyle w:val="185"/>
              <w:widowControl/>
            </w:pPr>
            <w:r>
              <w:t>458</w:t>
            </w:r>
          </w:p>
        </w:tc>
        <w:tc>
          <w:tcPr>
            <w:tcW w:w="1074" w:type="dxa"/>
            <w:shd w:val="clear" w:color="auto" w:fill="C7E2FA" w:themeFill="accent1" w:themeFillTint="33"/>
            <w:vAlign w:val="center"/>
          </w:tcPr>
          <w:p>
            <w:pPr>
              <w:pStyle w:val="185"/>
              <w:widowControl/>
            </w:pPr>
            <w:r>
              <w:t>15.86%</w:t>
            </w:r>
          </w:p>
        </w:tc>
        <w:tc>
          <w:tcPr>
            <w:tcW w:w="1205" w:type="dxa"/>
            <w:shd w:val="clear" w:color="auto" w:fill="C7E2FA" w:themeFill="accent1" w:themeFillTint="33"/>
            <w:vAlign w:val="center"/>
          </w:tcPr>
          <w:p>
            <w:pPr>
              <w:pStyle w:val="185"/>
              <w:widowControl/>
            </w:pPr>
            <w:r>
              <w:t>156</w:t>
            </w:r>
          </w:p>
        </w:tc>
        <w:tc>
          <w:tcPr>
            <w:tcW w:w="1121" w:type="dxa"/>
            <w:shd w:val="clear" w:color="auto" w:fill="C7E2FA" w:themeFill="accent1" w:themeFillTint="33"/>
            <w:vAlign w:val="center"/>
          </w:tcPr>
          <w:p>
            <w:pPr>
              <w:pStyle w:val="185"/>
              <w:widowControl/>
            </w:pPr>
            <w:r>
              <w:t>302</w:t>
            </w:r>
          </w:p>
        </w:tc>
        <w:tc>
          <w:tcPr>
            <w:tcW w:w="1294" w:type="dxa"/>
            <w:shd w:val="clear" w:color="auto" w:fill="C7E2FA" w:themeFill="accent1" w:themeFillTint="33"/>
            <w:vAlign w:val="center"/>
          </w:tcPr>
          <w:p>
            <w:pPr>
              <w:pStyle w:val="185"/>
              <w:widowControl/>
            </w:pPr>
            <w:r>
              <w:t>0.52:1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vAlign w:val="center"/>
          </w:tcPr>
          <w:p>
            <w:pPr>
              <w:pStyle w:val="185"/>
              <w:widowControl/>
            </w:pPr>
            <w:r>
              <w:t>3</w:t>
            </w:r>
          </w:p>
        </w:tc>
        <w:tc>
          <w:tcPr>
            <w:tcW w:w="1887" w:type="dxa"/>
            <w:vAlign w:val="center"/>
          </w:tcPr>
          <w:p>
            <w:pPr>
              <w:pStyle w:val="185"/>
              <w:widowControl/>
            </w:pPr>
            <w:r>
              <w:t>教育学</w:t>
            </w:r>
          </w:p>
        </w:tc>
        <w:tc>
          <w:tcPr>
            <w:tcW w:w="1073" w:type="dxa"/>
            <w:vAlign w:val="center"/>
          </w:tcPr>
          <w:p>
            <w:pPr>
              <w:pStyle w:val="185"/>
              <w:widowControl/>
            </w:pPr>
            <w:r>
              <w:t>369</w:t>
            </w:r>
          </w:p>
        </w:tc>
        <w:tc>
          <w:tcPr>
            <w:tcW w:w="1074" w:type="dxa"/>
            <w:vAlign w:val="center"/>
          </w:tcPr>
          <w:p>
            <w:pPr>
              <w:pStyle w:val="185"/>
              <w:widowControl/>
            </w:pPr>
            <w:r>
              <w:t>12.78%</w:t>
            </w:r>
          </w:p>
        </w:tc>
        <w:tc>
          <w:tcPr>
            <w:tcW w:w="1205" w:type="dxa"/>
            <w:vAlign w:val="center"/>
          </w:tcPr>
          <w:p>
            <w:pPr>
              <w:pStyle w:val="185"/>
              <w:widowControl/>
            </w:pPr>
            <w:r>
              <w:t>24</w:t>
            </w:r>
          </w:p>
        </w:tc>
        <w:tc>
          <w:tcPr>
            <w:tcW w:w="1121" w:type="dxa"/>
            <w:vAlign w:val="center"/>
          </w:tcPr>
          <w:p>
            <w:pPr>
              <w:pStyle w:val="185"/>
              <w:widowControl/>
            </w:pPr>
            <w:r>
              <w:t>345</w:t>
            </w:r>
          </w:p>
        </w:tc>
        <w:tc>
          <w:tcPr>
            <w:tcW w:w="1294" w:type="dxa"/>
            <w:vAlign w:val="center"/>
          </w:tcPr>
          <w:p>
            <w:pPr>
              <w:pStyle w:val="185"/>
              <w:widowControl/>
            </w:pPr>
            <w:r>
              <w:t>0.07:1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shd w:val="clear" w:color="auto" w:fill="C7E2FA" w:themeFill="accent1" w:themeFillTint="33"/>
            <w:vAlign w:val="center"/>
          </w:tcPr>
          <w:p>
            <w:pPr>
              <w:pStyle w:val="185"/>
              <w:widowControl/>
            </w:pPr>
            <w:r>
              <w:t>4</w:t>
            </w:r>
          </w:p>
        </w:tc>
        <w:tc>
          <w:tcPr>
            <w:tcW w:w="1887" w:type="dxa"/>
            <w:shd w:val="clear" w:color="auto" w:fill="C7E2FA" w:themeFill="accent1" w:themeFillTint="33"/>
            <w:vAlign w:val="center"/>
          </w:tcPr>
          <w:p>
            <w:pPr>
              <w:pStyle w:val="185"/>
              <w:widowControl/>
            </w:pPr>
            <w:r>
              <w:t>艺术学</w:t>
            </w:r>
          </w:p>
        </w:tc>
        <w:tc>
          <w:tcPr>
            <w:tcW w:w="1073" w:type="dxa"/>
            <w:shd w:val="clear" w:color="auto" w:fill="C7E2FA" w:themeFill="accent1" w:themeFillTint="33"/>
            <w:vAlign w:val="center"/>
          </w:tcPr>
          <w:p>
            <w:pPr>
              <w:pStyle w:val="185"/>
              <w:widowControl/>
            </w:pPr>
            <w:r>
              <w:t>358</w:t>
            </w:r>
          </w:p>
        </w:tc>
        <w:tc>
          <w:tcPr>
            <w:tcW w:w="1074" w:type="dxa"/>
            <w:shd w:val="clear" w:color="auto" w:fill="C7E2FA" w:themeFill="accent1" w:themeFillTint="33"/>
            <w:vAlign w:val="center"/>
          </w:tcPr>
          <w:p>
            <w:pPr>
              <w:pStyle w:val="185"/>
              <w:widowControl/>
            </w:pPr>
            <w:r>
              <w:t>12.40%</w:t>
            </w:r>
          </w:p>
        </w:tc>
        <w:tc>
          <w:tcPr>
            <w:tcW w:w="1205" w:type="dxa"/>
            <w:shd w:val="clear" w:color="auto" w:fill="C7E2FA" w:themeFill="accent1" w:themeFillTint="33"/>
            <w:vAlign w:val="center"/>
          </w:tcPr>
          <w:p>
            <w:pPr>
              <w:pStyle w:val="185"/>
              <w:widowControl/>
            </w:pPr>
            <w:r>
              <w:t>119</w:t>
            </w:r>
          </w:p>
        </w:tc>
        <w:tc>
          <w:tcPr>
            <w:tcW w:w="1121" w:type="dxa"/>
            <w:shd w:val="clear" w:color="auto" w:fill="C7E2FA" w:themeFill="accent1" w:themeFillTint="33"/>
            <w:vAlign w:val="center"/>
          </w:tcPr>
          <w:p>
            <w:pPr>
              <w:pStyle w:val="185"/>
              <w:widowControl/>
            </w:pPr>
            <w:r>
              <w:t>239</w:t>
            </w:r>
          </w:p>
        </w:tc>
        <w:tc>
          <w:tcPr>
            <w:tcW w:w="1294" w:type="dxa"/>
            <w:shd w:val="clear" w:color="auto" w:fill="C7E2FA" w:themeFill="accent1" w:themeFillTint="33"/>
            <w:vAlign w:val="center"/>
          </w:tcPr>
          <w:p>
            <w:pPr>
              <w:pStyle w:val="185"/>
              <w:widowControl/>
            </w:pPr>
            <w:r>
              <w:t>0.50:1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vAlign w:val="center"/>
          </w:tcPr>
          <w:p>
            <w:pPr>
              <w:pStyle w:val="185"/>
              <w:widowControl/>
            </w:pPr>
            <w:r>
              <w:t>5</w:t>
            </w:r>
          </w:p>
        </w:tc>
        <w:tc>
          <w:tcPr>
            <w:tcW w:w="1887" w:type="dxa"/>
            <w:vAlign w:val="center"/>
          </w:tcPr>
          <w:p>
            <w:pPr>
              <w:pStyle w:val="185"/>
              <w:widowControl/>
            </w:pPr>
            <w:r>
              <w:t>文学</w:t>
            </w:r>
          </w:p>
        </w:tc>
        <w:tc>
          <w:tcPr>
            <w:tcW w:w="1073" w:type="dxa"/>
            <w:vAlign w:val="center"/>
          </w:tcPr>
          <w:p>
            <w:pPr>
              <w:pStyle w:val="185"/>
              <w:widowControl/>
            </w:pPr>
            <w:r>
              <w:t>343</w:t>
            </w:r>
          </w:p>
        </w:tc>
        <w:tc>
          <w:tcPr>
            <w:tcW w:w="1074" w:type="dxa"/>
            <w:vAlign w:val="center"/>
          </w:tcPr>
          <w:p>
            <w:pPr>
              <w:pStyle w:val="185"/>
              <w:widowControl/>
            </w:pPr>
            <w:r>
              <w:t>11.88%</w:t>
            </w:r>
          </w:p>
        </w:tc>
        <w:tc>
          <w:tcPr>
            <w:tcW w:w="1205" w:type="dxa"/>
            <w:vAlign w:val="center"/>
          </w:tcPr>
          <w:p>
            <w:pPr>
              <w:pStyle w:val="185"/>
              <w:widowControl/>
            </w:pPr>
            <w:r>
              <w:t>52</w:t>
            </w:r>
          </w:p>
        </w:tc>
        <w:tc>
          <w:tcPr>
            <w:tcW w:w="1121" w:type="dxa"/>
            <w:vAlign w:val="center"/>
          </w:tcPr>
          <w:p>
            <w:pPr>
              <w:pStyle w:val="185"/>
              <w:widowControl/>
            </w:pPr>
            <w:r>
              <w:t>291</w:t>
            </w:r>
          </w:p>
        </w:tc>
        <w:tc>
          <w:tcPr>
            <w:tcW w:w="1294" w:type="dxa"/>
            <w:vAlign w:val="center"/>
          </w:tcPr>
          <w:p>
            <w:pPr>
              <w:pStyle w:val="185"/>
              <w:widowControl/>
            </w:pPr>
            <w:r>
              <w:t>0.18:1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shd w:val="clear" w:color="auto" w:fill="C7E2FA" w:themeFill="accent1" w:themeFillTint="33"/>
            <w:vAlign w:val="center"/>
          </w:tcPr>
          <w:p>
            <w:pPr>
              <w:pStyle w:val="185"/>
              <w:widowControl/>
            </w:pPr>
            <w:r>
              <w:t>6</w:t>
            </w:r>
          </w:p>
        </w:tc>
        <w:tc>
          <w:tcPr>
            <w:tcW w:w="1887" w:type="dxa"/>
            <w:shd w:val="clear" w:color="auto" w:fill="C7E2FA" w:themeFill="accent1" w:themeFillTint="33"/>
            <w:vAlign w:val="center"/>
          </w:tcPr>
          <w:p>
            <w:pPr>
              <w:pStyle w:val="185"/>
              <w:widowControl/>
            </w:pPr>
            <w:r>
              <w:t>管理学</w:t>
            </w:r>
          </w:p>
        </w:tc>
        <w:tc>
          <w:tcPr>
            <w:tcW w:w="1073" w:type="dxa"/>
            <w:shd w:val="clear" w:color="auto" w:fill="C7E2FA" w:themeFill="accent1" w:themeFillTint="33"/>
            <w:vAlign w:val="center"/>
          </w:tcPr>
          <w:p>
            <w:pPr>
              <w:pStyle w:val="185"/>
              <w:widowControl/>
            </w:pPr>
            <w:r>
              <w:t>295</w:t>
            </w:r>
          </w:p>
        </w:tc>
        <w:tc>
          <w:tcPr>
            <w:tcW w:w="1074" w:type="dxa"/>
            <w:shd w:val="clear" w:color="auto" w:fill="C7E2FA" w:themeFill="accent1" w:themeFillTint="33"/>
            <w:vAlign w:val="center"/>
          </w:tcPr>
          <w:p>
            <w:pPr>
              <w:pStyle w:val="185"/>
              <w:widowControl/>
            </w:pPr>
            <w:r>
              <w:t>10.21%</w:t>
            </w:r>
          </w:p>
        </w:tc>
        <w:tc>
          <w:tcPr>
            <w:tcW w:w="1205" w:type="dxa"/>
            <w:shd w:val="clear" w:color="auto" w:fill="C7E2FA" w:themeFill="accent1" w:themeFillTint="33"/>
            <w:vAlign w:val="center"/>
          </w:tcPr>
          <w:p>
            <w:pPr>
              <w:pStyle w:val="185"/>
              <w:widowControl/>
            </w:pPr>
            <w:r>
              <w:t>116</w:t>
            </w:r>
          </w:p>
        </w:tc>
        <w:tc>
          <w:tcPr>
            <w:tcW w:w="1121" w:type="dxa"/>
            <w:shd w:val="clear" w:color="auto" w:fill="C7E2FA" w:themeFill="accent1" w:themeFillTint="33"/>
            <w:vAlign w:val="center"/>
          </w:tcPr>
          <w:p>
            <w:pPr>
              <w:pStyle w:val="185"/>
              <w:widowControl/>
            </w:pPr>
            <w:r>
              <w:t>179</w:t>
            </w:r>
          </w:p>
        </w:tc>
        <w:tc>
          <w:tcPr>
            <w:tcW w:w="1294" w:type="dxa"/>
            <w:shd w:val="clear" w:color="auto" w:fill="C7E2FA" w:themeFill="accent1" w:themeFillTint="33"/>
            <w:vAlign w:val="center"/>
          </w:tcPr>
          <w:p>
            <w:pPr>
              <w:pStyle w:val="185"/>
              <w:widowControl/>
            </w:pPr>
            <w:r>
              <w:t>0.65:1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vAlign w:val="center"/>
          </w:tcPr>
          <w:p>
            <w:pPr>
              <w:pStyle w:val="185"/>
              <w:widowControl/>
            </w:pPr>
            <w:r>
              <w:t>7</w:t>
            </w:r>
          </w:p>
        </w:tc>
        <w:tc>
          <w:tcPr>
            <w:tcW w:w="1887" w:type="dxa"/>
            <w:vAlign w:val="center"/>
          </w:tcPr>
          <w:p>
            <w:pPr>
              <w:pStyle w:val="185"/>
              <w:widowControl/>
            </w:pPr>
            <w:r>
              <w:t>理学</w:t>
            </w:r>
          </w:p>
        </w:tc>
        <w:tc>
          <w:tcPr>
            <w:tcW w:w="1073" w:type="dxa"/>
            <w:vAlign w:val="center"/>
          </w:tcPr>
          <w:p>
            <w:pPr>
              <w:pStyle w:val="185"/>
              <w:widowControl/>
            </w:pPr>
            <w:r>
              <w:t>64</w:t>
            </w:r>
          </w:p>
        </w:tc>
        <w:tc>
          <w:tcPr>
            <w:tcW w:w="1074" w:type="dxa"/>
            <w:vAlign w:val="center"/>
          </w:tcPr>
          <w:p>
            <w:pPr>
              <w:pStyle w:val="185"/>
              <w:widowControl/>
            </w:pPr>
            <w:r>
              <w:t>2.22%</w:t>
            </w:r>
          </w:p>
        </w:tc>
        <w:tc>
          <w:tcPr>
            <w:tcW w:w="1205" w:type="dxa"/>
            <w:vAlign w:val="center"/>
          </w:tcPr>
          <w:p>
            <w:pPr>
              <w:pStyle w:val="185"/>
              <w:widowControl/>
            </w:pPr>
            <w:r>
              <w:t>42</w:t>
            </w:r>
          </w:p>
        </w:tc>
        <w:tc>
          <w:tcPr>
            <w:tcW w:w="1121" w:type="dxa"/>
            <w:vAlign w:val="center"/>
          </w:tcPr>
          <w:p>
            <w:pPr>
              <w:pStyle w:val="185"/>
              <w:widowControl/>
            </w:pPr>
            <w:r>
              <w:t>22</w:t>
            </w:r>
          </w:p>
        </w:tc>
        <w:tc>
          <w:tcPr>
            <w:tcW w:w="1294" w:type="dxa"/>
            <w:vAlign w:val="center"/>
          </w:tcPr>
          <w:p>
            <w:pPr>
              <w:pStyle w:val="185"/>
              <w:widowControl/>
            </w:pPr>
            <w:r>
              <w:t>1.91:1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26" w:type="dxa"/>
            <w:shd w:val="clear" w:color="auto" w:fill="C7E2FA" w:themeFill="accent1" w:themeFillTint="33"/>
            <w:vAlign w:val="center"/>
          </w:tcPr>
          <w:p>
            <w:pPr>
              <w:pStyle w:val="185"/>
              <w:widowControl/>
            </w:pPr>
            <w:r>
              <w:t>8</w:t>
            </w:r>
          </w:p>
        </w:tc>
        <w:tc>
          <w:tcPr>
            <w:tcW w:w="1887" w:type="dxa"/>
            <w:shd w:val="clear" w:color="auto" w:fill="C7E2FA" w:themeFill="accent1" w:themeFillTint="33"/>
            <w:vAlign w:val="center"/>
          </w:tcPr>
          <w:p>
            <w:pPr>
              <w:pStyle w:val="185"/>
              <w:widowControl/>
            </w:pPr>
            <w:r>
              <w:t>农学</w:t>
            </w:r>
          </w:p>
        </w:tc>
        <w:tc>
          <w:tcPr>
            <w:tcW w:w="1073" w:type="dxa"/>
            <w:shd w:val="clear" w:color="auto" w:fill="C7E2FA" w:themeFill="accent1" w:themeFillTint="33"/>
            <w:vAlign w:val="center"/>
          </w:tcPr>
          <w:p>
            <w:pPr>
              <w:pStyle w:val="185"/>
              <w:widowControl/>
            </w:pPr>
            <w:r>
              <w:t>33</w:t>
            </w:r>
          </w:p>
        </w:tc>
        <w:tc>
          <w:tcPr>
            <w:tcW w:w="1074" w:type="dxa"/>
            <w:shd w:val="clear" w:color="auto" w:fill="C7E2FA" w:themeFill="accent1" w:themeFillTint="33"/>
            <w:vAlign w:val="center"/>
          </w:tcPr>
          <w:p>
            <w:pPr>
              <w:pStyle w:val="185"/>
              <w:widowControl/>
            </w:pPr>
            <w:r>
              <w:t>1.14%</w:t>
            </w:r>
          </w:p>
        </w:tc>
        <w:tc>
          <w:tcPr>
            <w:tcW w:w="1205" w:type="dxa"/>
            <w:shd w:val="clear" w:color="auto" w:fill="C7E2FA" w:themeFill="accent1" w:themeFillTint="33"/>
            <w:vAlign w:val="center"/>
          </w:tcPr>
          <w:p>
            <w:pPr>
              <w:pStyle w:val="185"/>
              <w:widowControl/>
            </w:pPr>
            <w:r>
              <w:t>10</w:t>
            </w:r>
          </w:p>
        </w:tc>
        <w:tc>
          <w:tcPr>
            <w:tcW w:w="1121" w:type="dxa"/>
            <w:shd w:val="clear" w:color="auto" w:fill="C7E2FA" w:themeFill="accent1" w:themeFillTint="33"/>
            <w:vAlign w:val="center"/>
          </w:tcPr>
          <w:p>
            <w:pPr>
              <w:pStyle w:val="185"/>
              <w:widowControl/>
            </w:pPr>
            <w:r>
              <w:t>23</w:t>
            </w:r>
          </w:p>
        </w:tc>
        <w:tc>
          <w:tcPr>
            <w:tcW w:w="1294" w:type="dxa"/>
            <w:shd w:val="clear" w:color="auto" w:fill="C7E2FA" w:themeFill="accent1" w:themeFillTint="33"/>
            <w:vAlign w:val="center"/>
          </w:tcPr>
          <w:p>
            <w:pPr>
              <w:pStyle w:val="185"/>
              <w:widowControl/>
            </w:pPr>
            <w:r>
              <w:t>0.43:1</w:t>
            </w:r>
          </w:p>
        </w:tc>
      </w:tr>
    </w:tbl>
    <w:p>
      <w:pPr>
        <w:pStyle w:val="176"/>
        <w:ind w:firstLine="360" w:firstLineChars="2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注：因四舍五入保留</w:t>
      </w:r>
      <w:r>
        <w:rPr>
          <w:color w:val="0F6FC6" w:themeColor="accent5"/>
          <w14:textFill>
            <w14:solidFill>
              <w14:schemeClr w14:val="accent5"/>
            </w14:solidFill>
          </w14:textFill>
        </w:rPr>
        <w:t>两位小数</w:t>
      </w:r>
      <w:r>
        <w:rPr>
          <w:rFonts w:hint="eastAsia"/>
          <w:color w:val="0F6FC6" w:themeColor="accent5"/>
          <w14:textFill>
            <w14:solidFill>
              <w14:schemeClr w14:val="accent5"/>
            </w14:solidFill>
          </w14:textFill>
        </w:rPr>
        <w:t>，各分项占比之和可能存在±0.01%的</w:t>
      </w:r>
      <w:r>
        <w:rPr>
          <w:color w:val="0F6FC6" w:themeColor="accent5"/>
          <w14:textFill>
            <w14:solidFill>
              <w14:schemeClr w14:val="accent5"/>
            </w14:solidFill>
          </w14:textFill>
        </w:rPr>
        <w:t>误差</w:t>
      </w:r>
      <w:r>
        <w:rPr>
          <w:rFonts w:hint="eastAsia"/>
          <w:color w:val="0F6FC6" w:themeColor="accent5"/>
          <w14:textFill>
            <w14:solidFill>
              <w14:schemeClr w14:val="accent5"/>
            </w14:solidFill>
          </w14:textFill>
        </w:rPr>
        <w:t>。</w:t>
      </w:r>
    </w:p>
    <w:p>
      <w:pPr>
        <w:pStyle w:val="176"/>
        <w:ind w:firstLine="360" w:firstLineChars="200"/>
        <w:rPr>
          <w:color w:val="0070C0"/>
        </w:rPr>
      </w:pPr>
      <w:r>
        <w:rPr>
          <w:rFonts w:hint="eastAsia"/>
          <w:color w:val="0070C0"/>
        </w:rPr>
        <w:t>数据来源：湖北省高校毕业生就业办公系统。</w:t>
      </w:r>
    </w:p>
    <w:p>
      <w:pPr>
        <w:spacing w:before="156" w:beforeLines="50" w:line="360" w:lineRule="auto"/>
        <w:ind w:firstLine="480" w:firstLineChars="200"/>
        <w:jc w:val="both"/>
        <w:rPr>
          <w:rFonts w:asciiTheme="minorEastAsia" w:hAnsiTheme="minorEastAsia"/>
        </w:rPr>
      </w:pPr>
      <w:r>
        <w:rPr>
          <w:rFonts w:hint="eastAsia" w:asciiTheme="minorEastAsia" w:hAnsiTheme="minorEastAsia"/>
          <w:b/>
          <w:color w:val="0F6FC6" w:themeColor="accent5"/>
          <w14:textFill>
            <w14:solidFill>
              <w14:schemeClr w14:val="accent5"/>
            </w14:solidFill>
          </w14:textFill>
        </w:rPr>
        <w:t>专科毕业生</w:t>
      </w:r>
      <w:r>
        <w:rPr>
          <w:rFonts w:asciiTheme="minorEastAsia" w:hAnsiTheme="minorEastAsia"/>
          <w:b/>
          <w:color w:val="0F6FC6" w:themeColor="accent5"/>
          <w14:textFill>
            <w14:solidFill>
              <w14:schemeClr w14:val="accent5"/>
            </w14:solidFill>
          </w14:textFill>
        </w:rPr>
        <w:t>：</w:t>
      </w:r>
      <w:r>
        <w:rPr>
          <w:rFonts w:hint="eastAsia" w:asciiTheme="minorEastAsia" w:hAnsiTheme="minorEastAsia"/>
        </w:rPr>
        <w:t>专科</w:t>
      </w:r>
      <w:r>
        <w:rPr>
          <w:rFonts w:asciiTheme="minorEastAsia" w:hAnsiTheme="minorEastAsia"/>
        </w:rPr>
        <w:t>毕业生</w:t>
      </w:r>
      <w:r>
        <w:rPr>
          <w:rFonts w:hint="eastAsia" w:asciiTheme="minorEastAsia" w:hAnsiTheme="minorEastAsia"/>
        </w:rPr>
        <w:t>涵盖了</w:t>
      </w:r>
      <w:r>
        <w:rPr>
          <w:rFonts w:ascii="Times New Roman" w:hAnsi="Times New Roman"/>
        </w:rPr>
        <w:t>医药卫生大类、教育与体育大类、电子信息大类、装备制造大类、财经商贸大类、农林牧渔大类、轻工纺织大类和生物与化工大类</w:t>
      </w:r>
      <w:r>
        <w:rPr>
          <w:rFonts w:hint="eastAsia" w:asciiTheme="minorEastAsia" w:hAnsiTheme="minorEastAsia"/>
        </w:rPr>
        <w:t>等</w:t>
      </w:r>
      <w:r>
        <w:rPr>
          <w:rFonts w:hint="eastAsia" w:ascii="Times New Roman" w:hAnsi="Times New Roman"/>
        </w:rPr>
        <w:t>8</w:t>
      </w:r>
      <w:r>
        <w:rPr>
          <w:rFonts w:hint="eastAsia" w:asciiTheme="minorEastAsia" w:hAnsiTheme="minorEastAsia"/>
        </w:rPr>
        <w:t>种专业大类；</w:t>
      </w:r>
      <w:r>
        <w:rPr>
          <w:rFonts w:asciiTheme="minorEastAsia" w:hAnsiTheme="minorEastAsia"/>
        </w:rPr>
        <w:t>其中以</w:t>
      </w:r>
      <w:r>
        <w:rPr>
          <w:rFonts w:ascii="Times New Roman" w:hAnsi="Times New Roman"/>
        </w:rPr>
        <w:t>医药卫生大类和教育与体育大类</w:t>
      </w:r>
      <w:r>
        <w:rPr>
          <w:rFonts w:hint="eastAsia" w:asciiTheme="minorEastAsia" w:hAnsiTheme="minorEastAsia"/>
        </w:rPr>
        <w:t>为</w:t>
      </w:r>
      <w:r>
        <w:rPr>
          <w:rFonts w:asciiTheme="minorEastAsia" w:hAnsiTheme="minorEastAsia"/>
        </w:rPr>
        <w:t>主</w:t>
      </w:r>
      <w:r>
        <w:rPr>
          <w:rFonts w:hint="eastAsia" w:asciiTheme="minorEastAsia" w:hAnsiTheme="minorEastAsia"/>
        </w:rPr>
        <w:t>，占比分别为</w:t>
      </w:r>
      <w:r>
        <w:rPr>
          <w:rFonts w:hint="eastAsia" w:ascii="Times New Roman" w:hAnsi="Times New Roman"/>
        </w:rPr>
        <w:t>53.30%</w:t>
      </w:r>
      <w:r>
        <w:rPr>
          <w:rFonts w:hint="eastAsia" w:asciiTheme="minorEastAsia" w:hAnsiTheme="minorEastAsia"/>
        </w:rPr>
        <w:t>和</w:t>
      </w:r>
      <w:r>
        <w:rPr>
          <w:rFonts w:hint="eastAsia" w:ascii="Times New Roman" w:hAnsi="Times New Roman"/>
        </w:rPr>
        <w:t>18.69%</w:t>
      </w:r>
      <w:r>
        <w:rPr>
          <w:rFonts w:hint="eastAsia" w:asciiTheme="minorEastAsia" w:hAnsiTheme="minorEastAsia"/>
        </w:rPr>
        <w:t>。从其</w:t>
      </w:r>
      <w:r>
        <w:rPr>
          <w:rFonts w:asciiTheme="minorEastAsia" w:hAnsiTheme="minorEastAsia"/>
        </w:rPr>
        <w:t>性别构成来看，</w:t>
      </w:r>
      <w:r>
        <w:rPr>
          <w:rFonts w:ascii="Times New Roman" w:hAnsi="Times New Roman"/>
        </w:rPr>
        <w:t>装备制造大类、生物与化工大类</w:t>
      </w:r>
      <w:r>
        <w:rPr>
          <w:rFonts w:hint="eastAsia" w:asciiTheme="minorEastAsia" w:hAnsiTheme="minorEastAsia"/>
        </w:rPr>
        <w:t>以</w:t>
      </w:r>
      <w:r>
        <w:rPr>
          <w:rFonts w:asciiTheme="minorEastAsia" w:hAnsiTheme="minorEastAsia"/>
        </w:rPr>
        <w:t>男生为主，</w:t>
      </w:r>
      <w:r>
        <w:rPr>
          <w:rFonts w:hint="eastAsia" w:asciiTheme="minorEastAsia" w:hAnsiTheme="minorEastAsia"/>
        </w:rPr>
        <w:t>男女性别比</w:t>
      </w:r>
      <w:r>
        <w:rPr>
          <w:rFonts w:asciiTheme="minorEastAsia" w:hAnsiTheme="minorEastAsia"/>
        </w:rPr>
        <w:t>分别为</w:t>
      </w:r>
      <w:r>
        <w:rPr>
          <w:rFonts w:hint="eastAsia" w:ascii="Times New Roman" w:hAnsi="Times New Roman"/>
        </w:rPr>
        <w:t>25.20:1</w:t>
      </w:r>
      <w:r>
        <w:rPr>
          <w:rFonts w:hint="eastAsia" w:asciiTheme="minorEastAsia" w:hAnsiTheme="minorEastAsia"/>
        </w:rPr>
        <w:t>和</w:t>
      </w:r>
      <w:r>
        <w:rPr>
          <w:rFonts w:hint="eastAsia" w:ascii="Times New Roman" w:hAnsi="Times New Roman"/>
        </w:rPr>
        <w:t>2.00:1</w:t>
      </w:r>
      <w:r>
        <w:rPr>
          <w:rFonts w:hint="eastAsia" w:asciiTheme="minorEastAsia" w:hAnsiTheme="minorEastAsia"/>
        </w:rPr>
        <w:t>；</w:t>
      </w:r>
      <w:r>
        <w:rPr>
          <w:rFonts w:asciiTheme="minorEastAsia" w:hAnsiTheme="minorEastAsia"/>
        </w:rPr>
        <w:t>而</w:t>
      </w:r>
      <w:r>
        <w:rPr>
          <w:rFonts w:ascii="Times New Roman" w:hAnsi="Times New Roman"/>
        </w:rPr>
        <w:t>教育与体育大类、财经商贸大类和医药卫生大类</w:t>
      </w:r>
      <w:r>
        <w:rPr>
          <w:rFonts w:asciiTheme="minorEastAsia" w:hAnsiTheme="minorEastAsia"/>
        </w:rPr>
        <w:t>以女生</w:t>
      </w:r>
      <w:r>
        <w:rPr>
          <w:rFonts w:hint="eastAsia" w:asciiTheme="minorEastAsia" w:hAnsiTheme="minorEastAsia"/>
        </w:rPr>
        <w:t>为主。</w:t>
      </w:r>
    </w:p>
    <w:p>
      <w:pPr>
        <w:pStyle w:val="218"/>
        <w:spacing w:before="156" w:after="156"/>
      </w:pPr>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2</w:t>
      </w:r>
      <w:r>
        <w:fldChar w:fldCharType="end"/>
      </w:r>
      <w:r>
        <w:t xml:space="preserve">  </w:t>
      </w:r>
      <w:r>
        <w:rPr>
          <w:rFonts w:hint="eastAsia" w:eastAsia="宋体"/>
        </w:rPr>
        <w:t>2021</w:t>
      </w:r>
      <w:r>
        <w:rPr>
          <w:rFonts w:hint="eastAsia"/>
        </w:rPr>
        <w:t>届专科毕业生的专业大类分布</w:t>
      </w:r>
    </w:p>
    <w:tbl>
      <w:tblPr>
        <w:tblStyle w:val="128"/>
        <w:tblW w:w="4842" w:type="pct"/>
        <w:jc w:val="cente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941"/>
        <w:gridCol w:w="1918"/>
        <w:gridCol w:w="1090"/>
        <w:gridCol w:w="1091"/>
        <w:gridCol w:w="1225"/>
        <w:gridCol w:w="1137"/>
        <w:gridCol w:w="1317"/>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tblHeader/>
          <w:jc w:val="center"/>
        </w:trPr>
        <w:tc>
          <w:tcPr>
            <w:tcW w:w="917" w:type="dxa"/>
            <w:vMerge w:val="restart"/>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85"/>
              <w:widowControl/>
              <w:rPr>
                <w:b/>
                <w:bCs w:val="0"/>
                <w:color w:val="000000"/>
              </w:rPr>
            </w:pPr>
            <w:r>
              <w:rPr>
                <w:b/>
                <w:bCs w:val="0"/>
                <w:color w:val="FFFFFF" w:themeColor="background1"/>
                <w14:textFill>
                  <w14:solidFill>
                    <w14:schemeClr w14:val="bg1"/>
                  </w14:solidFill>
                </w14:textFill>
              </w:rPr>
              <w:t>序号</w:t>
            </w:r>
          </w:p>
        </w:tc>
        <w:tc>
          <w:tcPr>
            <w:tcW w:w="3997" w:type="dxa"/>
            <w:gridSpan w:val="3"/>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85"/>
              <w:widowControl/>
              <w:rPr>
                <w:b/>
                <w:bCs w:val="0"/>
                <w:color w:val="000000"/>
              </w:rPr>
            </w:pPr>
            <w:r>
              <w:rPr>
                <w:b/>
                <w:bCs w:val="0"/>
                <w:color w:val="FFFFFF" w:themeColor="background1"/>
                <w14:textFill>
                  <w14:solidFill>
                    <w14:schemeClr w14:val="bg1"/>
                  </w14:solidFill>
                </w14:textFill>
              </w:rPr>
              <w:t>学科构成</w:t>
            </w:r>
          </w:p>
        </w:tc>
        <w:tc>
          <w:tcPr>
            <w:tcW w:w="3587" w:type="dxa"/>
            <w:gridSpan w:val="3"/>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pStyle w:val="185"/>
              <w:widowControl/>
              <w:rPr>
                <w:b/>
                <w:bCs w:val="0"/>
                <w:color w:val="000000"/>
              </w:rPr>
            </w:pPr>
            <w:r>
              <w:rPr>
                <w:b/>
                <w:bCs w:val="0"/>
                <w:color w:val="FFFFFF" w:themeColor="background1"/>
                <w14:textFill>
                  <w14:solidFill>
                    <w14:schemeClr w14:val="bg1"/>
                  </w14:solidFill>
                </w14:textFill>
              </w:rPr>
              <w:t>性别构成</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vMerge w:val="continue"/>
            <w:shd w:val="clear" w:color="auto" w:fill="C7E2FA" w:themeFill="accent1" w:themeFillTint="33"/>
            <w:vAlign w:val="center"/>
          </w:tcPr>
          <w:p>
            <w:pPr>
              <w:pStyle w:val="185"/>
              <w:widowControl/>
              <w:rPr>
                <w:color w:val="000000"/>
              </w:rPr>
            </w:pPr>
          </w:p>
        </w:tc>
        <w:tc>
          <w:tcPr>
            <w:tcW w:w="1870" w:type="dxa"/>
            <w:shd w:val="clear" w:color="auto" w:fill="C7E2FA" w:themeFill="accent1" w:themeFillTint="33"/>
            <w:vAlign w:val="center"/>
          </w:tcPr>
          <w:p>
            <w:pPr>
              <w:pStyle w:val="185"/>
              <w:widowControl/>
              <w:rPr>
                <w:color w:val="000000"/>
              </w:rPr>
            </w:pPr>
            <w:r>
              <w:t>专业大类</w:t>
            </w:r>
          </w:p>
        </w:tc>
        <w:tc>
          <w:tcPr>
            <w:tcW w:w="1063" w:type="dxa"/>
            <w:shd w:val="clear" w:color="auto" w:fill="C7E2FA" w:themeFill="accent1" w:themeFillTint="33"/>
            <w:vAlign w:val="center"/>
          </w:tcPr>
          <w:p>
            <w:pPr>
              <w:pStyle w:val="185"/>
              <w:widowControl/>
              <w:rPr>
                <w:color w:val="000000"/>
              </w:rPr>
            </w:pPr>
            <w:r>
              <w:t>人数</w:t>
            </w:r>
          </w:p>
        </w:tc>
        <w:tc>
          <w:tcPr>
            <w:tcW w:w="1064" w:type="dxa"/>
            <w:shd w:val="clear" w:color="auto" w:fill="C7E2FA" w:themeFill="accent1" w:themeFillTint="33"/>
            <w:vAlign w:val="center"/>
          </w:tcPr>
          <w:p>
            <w:pPr>
              <w:pStyle w:val="185"/>
              <w:widowControl/>
              <w:rPr>
                <w:color w:val="000000"/>
              </w:rPr>
            </w:pPr>
            <w:r>
              <w:t>比例</w:t>
            </w:r>
          </w:p>
        </w:tc>
        <w:tc>
          <w:tcPr>
            <w:tcW w:w="1194" w:type="dxa"/>
            <w:shd w:val="clear" w:color="auto" w:fill="C7E2FA" w:themeFill="accent1" w:themeFillTint="33"/>
            <w:vAlign w:val="center"/>
          </w:tcPr>
          <w:p>
            <w:pPr>
              <w:pStyle w:val="185"/>
              <w:widowControl/>
              <w:rPr>
                <w:color w:val="000000"/>
              </w:rPr>
            </w:pPr>
            <w:r>
              <w:t>男生人数</w:t>
            </w:r>
          </w:p>
        </w:tc>
        <w:tc>
          <w:tcPr>
            <w:tcW w:w="1109" w:type="dxa"/>
            <w:shd w:val="clear" w:color="auto" w:fill="C7E2FA" w:themeFill="accent1" w:themeFillTint="33"/>
            <w:vAlign w:val="center"/>
          </w:tcPr>
          <w:p>
            <w:pPr>
              <w:pStyle w:val="185"/>
              <w:widowControl/>
              <w:rPr>
                <w:color w:val="000000"/>
              </w:rPr>
            </w:pPr>
            <w:r>
              <w:t>女生人数</w:t>
            </w:r>
          </w:p>
        </w:tc>
        <w:tc>
          <w:tcPr>
            <w:tcW w:w="1284" w:type="dxa"/>
            <w:shd w:val="clear" w:color="auto" w:fill="C7E2FA" w:themeFill="accent1" w:themeFillTint="33"/>
            <w:vAlign w:val="center"/>
          </w:tcPr>
          <w:p>
            <w:pPr>
              <w:pStyle w:val="185"/>
              <w:widowControl/>
              <w:rPr>
                <w:color w:val="000000"/>
              </w:rPr>
            </w:pPr>
            <w:r>
              <w:t>男女性别比</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vAlign w:val="center"/>
          </w:tcPr>
          <w:p>
            <w:pPr>
              <w:pStyle w:val="185"/>
              <w:widowControl/>
            </w:pPr>
            <w:r>
              <w:t>1</w:t>
            </w:r>
          </w:p>
        </w:tc>
        <w:tc>
          <w:tcPr>
            <w:tcW w:w="1870" w:type="dxa"/>
            <w:vAlign w:val="center"/>
          </w:tcPr>
          <w:p>
            <w:pPr>
              <w:pStyle w:val="185"/>
              <w:widowControl/>
            </w:pPr>
            <w:r>
              <w:t>医药卫生大类</w:t>
            </w:r>
          </w:p>
        </w:tc>
        <w:tc>
          <w:tcPr>
            <w:tcW w:w="1063" w:type="dxa"/>
            <w:vAlign w:val="center"/>
          </w:tcPr>
          <w:p>
            <w:pPr>
              <w:pStyle w:val="185"/>
              <w:widowControl/>
            </w:pPr>
            <w:r>
              <w:t>938</w:t>
            </w:r>
          </w:p>
        </w:tc>
        <w:tc>
          <w:tcPr>
            <w:tcW w:w="1064" w:type="dxa"/>
            <w:vAlign w:val="center"/>
          </w:tcPr>
          <w:p>
            <w:pPr>
              <w:pStyle w:val="185"/>
              <w:widowControl/>
            </w:pPr>
            <w:r>
              <w:t>53.30%</w:t>
            </w:r>
          </w:p>
        </w:tc>
        <w:tc>
          <w:tcPr>
            <w:tcW w:w="1194" w:type="dxa"/>
            <w:vAlign w:val="center"/>
          </w:tcPr>
          <w:p>
            <w:pPr>
              <w:pStyle w:val="185"/>
              <w:widowControl/>
            </w:pPr>
            <w:r>
              <w:t>296</w:t>
            </w:r>
          </w:p>
        </w:tc>
        <w:tc>
          <w:tcPr>
            <w:tcW w:w="1109" w:type="dxa"/>
            <w:vAlign w:val="center"/>
          </w:tcPr>
          <w:p>
            <w:pPr>
              <w:pStyle w:val="185"/>
              <w:widowControl/>
            </w:pPr>
            <w:r>
              <w:t>642</w:t>
            </w:r>
          </w:p>
        </w:tc>
        <w:tc>
          <w:tcPr>
            <w:tcW w:w="1284" w:type="dxa"/>
            <w:vAlign w:val="center"/>
          </w:tcPr>
          <w:p>
            <w:pPr>
              <w:pStyle w:val="185"/>
              <w:widowControl/>
            </w:pPr>
            <w:r>
              <w:t>0.46:1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shd w:val="clear" w:color="auto" w:fill="C7E2FA" w:themeFill="accent1" w:themeFillTint="33"/>
            <w:vAlign w:val="center"/>
          </w:tcPr>
          <w:p>
            <w:pPr>
              <w:pStyle w:val="185"/>
              <w:widowControl/>
            </w:pPr>
            <w:r>
              <w:t>2</w:t>
            </w:r>
          </w:p>
        </w:tc>
        <w:tc>
          <w:tcPr>
            <w:tcW w:w="1870" w:type="dxa"/>
            <w:shd w:val="clear" w:color="auto" w:fill="C7E2FA" w:themeFill="accent1" w:themeFillTint="33"/>
            <w:vAlign w:val="center"/>
          </w:tcPr>
          <w:p>
            <w:pPr>
              <w:pStyle w:val="185"/>
              <w:widowControl/>
            </w:pPr>
            <w:r>
              <w:t>教育与体育大类</w:t>
            </w:r>
          </w:p>
        </w:tc>
        <w:tc>
          <w:tcPr>
            <w:tcW w:w="1063" w:type="dxa"/>
            <w:shd w:val="clear" w:color="auto" w:fill="C7E2FA" w:themeFill="accent1" w:themeFillTint="33"/>
            <w:vAlign w:val="center"/>
          </w:tcPr>
          <w:p>
            <w:pPr>
              <w:pStyle w:val="185"/>
              <w:widowControl/>
            </w:pPr>
            <w:r>
              <w:t>329</w:t>
            </w:r>
          </w:p>
        </w:tc>
        <w:tc>
          <w:tcPr>
            <w:tcW w:w="1064" w:type="dxa"/>
            <w:shd w:val="clear" w:color="auto" w:fill="C7E2FA" w:themeFill="accent1" w:themeFillTint="33"/>
            <w:vAlign w:val="center"/>
          </w:tcPr>
          <w:p>
            <w:pPr>
              <w:pStyle w:val="185"/>
              <w:widowControl/>
            </w:pPr>
            <w:r>
              <w:t>18.69%</w:t>
            </w:r>
          </w:p>
        </w:tc>
        <w:tc>
          <w:tcPr>
            <w:tcW w:w="1194" w:type="dxa"/>
            <w:shd w:val="clear" w:color="auto" w:fill="C7E2FA" w:themeFill="accent1" w:themeFillTint="33"/>
            <w:vAlign w:val="center"/>
          </w:tcPr>
          <w:p>
            <w:pPr>
              <w:pStyle w:val="185"/>
              <w:widowControl/>
            </w:pPr>
            <w:r>
              <w:t>21</w:t>
            </w:r>
          </w:p>
        </w:tc>
        <w:tc>
          <w:tcPr>
            <w:tcW w:w="1109" w:type="dxa"/>
            <w:shd w:val="clear" w:color="auto" w:fill="C7E2FA" w:themeFill="accent1" w:themeFillTint="33"/>
            <w:vAlign w:val="center"/>
          </w:tcPr>
          <w:p>
            <w:pPr>
              <w:pStyle w:val="185"/>
              <w:widowControl/>
            </w:pPr>
            <w:r>
              <w:t>308</w:t>
            </w:r>
          </w:p>
        </w:tc>
        <w:tc>
          <w:tcPr>
            <w:tcW w:w="1284" w:type="dxa"/>
            <w:shd w:val="clear" w:color="auto" w:fill="C7E2FA" w:themeFill="accent1" w:themeFillTint="33"/>
            <w:vAlign w:val="center"/>
          </w:tcPr>
          <w:p>
            <w:pPr>
              <w:pStyle w:val="185"/>
              <w:widowControl/>
            </w:pPr>
            <w:r>
              <w:t>0.07:1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vAlign w:val="center"/>
          </w:tcPr>
          <w:p>
            <w:pPr>
              <w:pStyle w:val="185"/>
              <w:widowControl/>
            </w:pPr>
            <w:r>
              <w:t>3</w:t>
            </w:r>
          </w:p>
        </w:tc>
        <w:tc>
          <w:tcPr>
            <w:tcW w:w="1870" w:type="dxa"/>
            <w:vAlign w:val="center"/>
          </w:tcPr>
          <w:p>
            <w:pPr>
              <w:pStyle w:val="185"/>
              <w:widowControl/>
            </w:pPr>
            <w:r>
              <w:t>电子信息大类</w:t>
            </w:r>
          </w:p>
        </w:tc>
        <w:tc>
          <w:tcPr>
            <w:tcW w:w="1063" w:type="dxa"/>
            <w:vAlign w:val="center"/>
          </w:tcPr>
          <w:p>
            <w:pPr>
              <w:pStyle w:val="185"/>
              <w:widowControl/>
            </w:pPr>
            <w:r>
              <w:t>177</w:t>
            </w:r>
          </w:p>
        </w:tc>
        <w:tc>
          <w:tcPr>
            <w:tcW w:w="1064" w:type="dxa"/>
            <w:vAlign w:val="center"/>
          </w:tcPr>
          <w:p>
            <w:pPr>
              <w:pStyle w:val="185"/>
              <w:widowControl/>
            </w:pPr>
            <w:r>
              <w:t>10.06%</w:t>
            </w:r>
          </w:p>
        </w:tc>
        <w:tc>
          <w:tcPr>
            <w:tcW w:w="1194" w:type="dxa"/>
            <w:vAlign w:val="center"/>
          </w:tcPr>
          <w:p>
            <w:pPr>
              <w:pStyle w:val="185"/>
              <w:widowControl/>
            </w:pPr>
            <w:r>
              <w:t>110</w:t>
            </w:r>
          </w:p>
        </w:tc>
        <w:tc>
          <w:tcPr>
            <w:tcW w:w="1109" w:type="dxa"/>
            <w:vAlign w:val="center"/>
          </w:tcPr>
          <w:p>
            <w:pPr>
              <w:pStyle w:val="185"/>
              <w:widowControl/>
            </w:pPr>
            <w:r>
              <w:t>67</w:t>
            </w:r>
          </w:p>
        </w:tc>
        <w:tc>
          <w:tcPr>
            <w:tcW w:w="1284" w:type="dxa"/>
            <w:vAlign w:val="center"/>
          </w:tcPr>
          <w:p>
            <w:pPr>
              <w:pStyle w:val="185"/>
              <w:widowControl/>
            </w:pPr>
            <w:r>
              <w:t>1.64:1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shd w:val="clear" w:color="auto" w:fill="C7E2FA" w:themeFill="accent1" w:themeFillTint="33"/>
            <w:vAlign w:val="center"/>
          </w:tcPr>
          <w:p>
            <w:pPr>
              <w:pStyle w:val="185"/>
              <w:widowControl/>
            </w:pPr>
            <w:r>
              <w:t>4</w:t>
            </w:r>
          </w:p>
        </w:tc>
        <w:tc>
          <w:tcPr>
            <w:tcW w:w="1870" w:type="dxa"/>
            <w:shd w:val="clear" w:color="auto" w:fill="C7E2FA" w:themeFill="accent1" w:themeFillTint="33"/>
            <w:vAlign w:val="center"/>
          </w:tcPr>
          <w:p>
            <w:pPr>
              <w:pStyle w:val="185"/>
              <w:widowControl/>
            </w:pPr>
            <w:r>
              <w:t>装备制造大类</w:t>
            </w:r>
          </w:p>
        </w:tc>
        <w:tc>
          <w:tcPr>
            <w:tcW w:w="1063" w:type="dxa"/>
            <w:shd w:val="clear" w:color="auto" w:fill="C7E2FA" w:themeFill="accent1" w:themeFillTint="33"/>
            <w:vAlign w:val="center"/>
          </w:tcPr>
          <w:p>
            <w:pPr>
              <w:pStyle w:val="185"/>
              <w:widowControl/>
            </w:pPr>
            <w:r>
              <w:t>131</w:t>
            </w:r>
          </w:p>
        </w:tc>
        <w:tc>
          <w:tcPr>
            <w:tcW w:w="1064" w:type="dxa"/>
            <w:shd w:val="clear" w:color="auto" w:fill="C7E2FA" w:themeFill="accent1" w:themeFillTint="33"/>
            <w:vAlign w:val="center"/>
          </w:tcPr>
          <w:p>
            <w:pPr>
              <w:pStyle w:val="185"/>
              <w:widowControl/>
            </w:pPr>
            <w:r>
              <w:t>7.44%</w:t>
            </w:r>
          </w:p>
        </w:tc>
        <w:tc>
          <w:tcPr>
            <w:tcW w:w="1194" w:type="dxa"/>
            <w:shd w:val="clear" w:color="auto" w:fill="C7E2FA" w:themeFill="accent1" w:themeFillTint="33"/>
            <w:vAlign w:val="center"/>
          </w:tcPr>
          <w:p>
            <w:pPr>
              <w:pStyle w:val="185"/>
              <w:widowControl/>
            </w:pPr>
            <w:r>
              <w:t>126</w:t>
            </w:r>
          </w:p>
        </w:tc>
        <w:tc>
          <w:tcPr>
            <w:tcW w:w="1109" w:type="dxa"/>
            <w:shd w:val="clear" w:color="auto" w:fill="C7E2FA" w:themeFill="accent1" w:themeFillTint="33"/>
            <w:vAlign w:val="center"/>
          </w:tcPr>
          <w:p>
            <w:pPr>
              <w:pStyle w:val="185"/>
              <w:widowControl/>
            </w:pPr>
            <w:r>
              <w:t>5</w:t>
            </w:r>
          </w:p>
        </w:tc>
        <w:tc>
          <w:tcPr>
            <w:tcW w:w="1284" w:type="dxa"/>
            <w:shd w:val="clear" w:color="auto" w:fill="C7E2FA" w:themeFill="accent1" w:themeFillTint="33"/>
            <w:vAlign w:val="center"/>
          </w:tcPr>
          <w:p>
            <w:pPr>
              <w:pStyle w:val="185"/>
              <w:widowControl/>
            </w:pPr>
            <w:r>
              <w:t>25.20:1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vAlign w:val="center"/>
          </w:tcPr>
          <w:p>
            <w:pPr>
              <w:pStyle w:val="185"/>
              <w:widowControl/>
            </w:pPr>
            <w:r>
              <w:t>5</w:t>
            </w:r>
          </w:p>
        </w:tc>
        <w:tc>
          <w:tcPr>
            <w:tcW w:w="1870" w:type="dxa"/>
            <w:vAlign w:val="center"/>
          </w:tcPr>
          <w:p>
            <w:pPr>
              <w:pStyle w:val="185"/>
              <w:widowControl/>
            </w:pPr>
            <w:r>
              <w:t>财经商贸大类</w:t>
            </w:r>
          </w:p>
        </w:tc>
        <w:tc>
          <w:tcPr>
            <w:tcW w:w="1063" w:type="dxa"/>
            <w:vAlign w:val="center"/>
          </w:tcPr>
          <w:p>
            <w:pPr>
              <w:pStyle w:val="185"/>
              <w:widowControl/>
            </w:pPr>
            <w:r>
              <w:t>115</w:t>
            </w:r>
          </w:p>
        </w:tc>
        <w:tc>
          <w:tcPr>
            <w:tcW w:w="1064" w:type="dxa"/>
            <w:vAlign w:val="center"/>
          </w:tcPr>
          <w:p>
            <w:pPr>
              <w:pStyle w:val="185"/>
              <w:widowControl/>
            </w:pPr>
            <w:r>
              <w:t>6.53%</w:t>
            </w:r>
          </w:p>
        </w:tc>
        <w:tc>
          <w:tcPr>
            <w:tcW w:w="1194" w:type="dxa"/>
            <w:vAlign w:val="center"/>
          </w:tcPr>
          <w:p>
            <w:pPr>
              <w:pStyle w:val="185"/>
              <w:widowControl/>
            </w:pPr>
            <w:r>
              <w:t>20</w:t>
            </w:r>
          </w:p>
        </w:tc>
        <w:tc>
          <w:tcPr>
            <w:tcW w:w="1109" w:type="dxa"/>
            <w:vAlign w:val="center"/>
          </w:tcPr>
          <w:p>
            <w:pPr>
              <w:pStyle w:val="185"/>
              <w:widowControl/>
            </w:pPr>
            <w:r>
              <w:t>95</w:t>
            </w:r>
          </w:p>
        </w:tc>
        <w:tc>
          <w:tcPr>
            <w:tcW w:w="1284" w:type="dxa"/>
            <w:vAlign w:val="center"/>
          </w:tcPr>
          <w:p>
            <w:pPr>
              <w:pStyle w:val="185"/>
              <w:widowControl/>
            </w:pPr>
            <w:r>
              <w:t>0.21:1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shd w:val="clear" w:color="auto" w:fill="C7E2FA" w:themeFill="accent1" w:themeFillTint="33"/>
            <w:vAlign w:val="center"/>
          </w:tcPr>
          <w:p>
            <w:pPr>
              <w:pStyle w:val="185"/>
              <w:widowControl/>
            </w:pPr>
            <w:r>
              <w:t>6</w:t>
            </w:r>
          </w:p>
        </w:tc>
        <w:tc>
          <w:tcPr>
            <w:tcW w:w="1870" w:type="dxa"/>
            <w:shd w:val="clear" w:color="auto" w:fill="C7E2FA" w:themeFill="accent1" w:themeFillTint="33"/>
            <w:vAlign w:val="center"/>
          </w:tcPr>
          <w:p>
            <w:pPr>
              <w:pStyle w:val="185"/>
              <w:widowControl/>
            </w:pPr>
            <w:r>
              <w:t>农林牧渔大类</w:t>
            </w:r>
          </w:p>
        </w:tc>
        <w:tc>
          <w:tcPr>
            <w:tcW w:w="1063" w:type="dxa"/>
            <w:shd w:val="clear" w:color="auto" w:fill="C7E2FA" w:themeFill="accent1" w:themeFillTint="33"/>
            <w:vAlign w:val="center"/>
          </w:tcPr>
          <w:p>
            <w:pPr>
              <w:pStyle w:val="185"/>
              <w:widowControl/>
            </w:pPr>
            <w:r>
              <w:t>30</w:t>
            </w:r>
          </w:p>
        </w:tc>
        <w:tc>
          <w:tcPr>
            <w:tcW w:w="1064" w:type="dxa"/>
            <w:shd w:val="clear" w:color="auto" w:fill="C7E2FA" w:themeFill="accent1" w:themeFillTint="33"/>
            <w:vAlign w:val="center"/>
          </w:tcPr>
          <w:p>
            <w:pPr>
              <w:pStyle w:val="185"/>
              <w:widowControl/>
            </w:pPr>
            <w:r>
              <w:t>1.70%</w:t>
            </w:r>
          </w:p>
        </w:tc>
        <w:tc>
          <w:tcPr>
            <w:tcW w:w="1194" w:type="dxa"/>
            <w:shd w:val="clear" w:color="auto" w:fill="C7E2FA" w:themeFill="accent1" w:themeFillTint="33"/>
            <w:vAlign w:val="center"/>
          </w:tcPr>
          <w:p>
            <w:pPr>
              <w:pStyle w:val="185"/>
              <w:widowControl/>
            </w:pPr>
            <w:r>
              <w:t>14</w:t>
            </w:r>
          </w:p>
        </w:tc>
        <w:tc>
          <w:tcPr>
            <w:tcW w:w="1109" w:type="dxa"/>
            <w:shd w:val="clear" w:color="auto" w:fill="C7E2FA" w:themeFill="accent1" w:themeFillTint="33"/>
            <w:vAlign w:val="center"/>
          </w:tcPr>
          <w:p>
            <w:pPr>
              <w:pStyle w:val="185"/>
              <w:widowControl/>
            </w:pPr>
            <w:r>
              <w:t>16</w:t>
            </w:r>
          </w:p>
        </w:tc>
        <w:tc>
          <w:tcPr>
            <w:tcW w:w="1284" w:type="dxa"/>
            <w:shd w:val="clear" w:color="auto" w:fill="C7E2FA" w:themeFill="accent1" w:themeFillTint="33"/>
            <w:vAlign w:val="center"/>
          </w:tcPr>
          <w:p>
            <w:pPr>
              <w:pStyle w:val="185"/>
              <w:widowControl/>
            </w:pPr>
            <w:r>
              <w:t>0.88:1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vAlign w:val="center"/>
          </w:tcPr>
          <w:p>
            <w:pPr>
              <w:pStyle w:val="185"/>
              <w:widowControl/>
            </w:pPr>
            <w:r>
              <w:t>7</w:t>
            </w:r>
          </w:p>
        </w:tc>
        <w:tc>
          <w:tcPr>
            <w:tcW w:w="1870" w:type="dxa"/>
            <w:vAlign w:val="center"/>
          </w:tcPr>
          <w:p>
            <w:pPr>
              <w:pStyle w:val="185"/>
              <w:widowControl/>
            </w:pPr>
            <w:r>
              <w:t>轻工纺织大类</w:t>
            </w:r>
          </w:p>
        </w:tc>
        <w:tc>
          <w:tcPr>
            <w:tcW w:w="1063" w:type="dxa"/>
            <w:vAlign w:val="center"/>
          </w:tcPr>
          <w:p>
            <w:pPr>
              <w:pStyle w:val="185"/>
              <w:widowControl/>
            </w:pPr>
            <w:r>
              <w:t>25</w:t>
            </w:r>
          </w:p>
        </w:tc>
        <w:tc>
          <w:tcPr>
            <w:tcW w:w="1064" w:type="dxa"/>
            <w:vAlign w:val="center"/>
          </w:tcPr>
          <w:p>
            <w:pPr>
              <w:pStyle w:val="185"/>
              <w:widowControl/>
            </w:pPr>
            <w:r>
              <w:t>1.42%</w:t>
            </w:r>
          </w:p>
        </w:tc>
        <w:tc>
          <w:tcPr>
            <w:tcW w:w="1194" w:type="dxa"/>
            <w:vAlign w:val="center"/>
          </w:tcPr>
          <w:p>
            <w:pPr>
              <w:pStyle w:val="185"/>
              <w:widowControl/>
            </w:pPr>
            <w:r>
              <w:t>10</w:t>
            </w:r>
          </w:p>
        </w:tc>
        <w:tc>
          <w:tcPr>
            <w:tcW w:w="1109" w:type="dxa"/>
            <w:vAlign w:val="center"/>
          </w:tcPr>
          <w:p>
            <w:pPr>
              <w:pStyle w:val="185"/>
              <w:widowControl/>
            </w:pPr>
            <w:r>
              <w:t>15</w:t>
            </w:r>
          </w:p>
        </w:tc>
        <w:tc>
          <w:tcPr>
            <w:tcW w:w="1284" w:type="dxa"/>
            <w:vAlign w:val="center"/>
          </w:tcPr>
          <w:p>
            <w:pPr>
              <w:pStyle w:val="185"/>
              <w:widowControl/>
            </w:pPr>
            <w:r>
              <w:t>0.67:1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917" w:type="dxa"/>
            <w:shd w:val="clear" w:color="auto" w:fill="C7E2FA" w:themeFill="accent1" w:themeFillTint="33"/>
            <w:vAlign w:val="center"/>
          </w:tcPr>
          <w:p>
            <w:pPr>
              <w:pStyle w:val="185"/>
              <w:widowControl/>
            </w:pPr>
            <w:r>
              <w:t>8</w:t>
            </w:r>
          </w:p>
        </w:tc>
        <w:tc>
          <w:tcPr>
            <w:tcW w:w="1870" w:type="dxa"/>
            <w:shd w:val="clear" w:color="auto" w:fill="C7E2FA" w:themeFill="accent1" w:themeFillTint="33"/>
            <w:vAlign w:val="center"/>
          </w:tcPr>
          <w:p>
            <w:pPr>
              <w:pStyle w:val="185"/>
              <w:widowControl/>
            </w:pPr>
            <w:r>
              <w:t>生物与化工大类</w:t>
            </w:r>
          </w:p>
        </w:tc>
        <w:tc>
          <w:tcPr>
            <w:tcW w:w="1063" w:type="dxa"/>
            <w:shd w:val="clear" w:color="auto" w:fill="C7E2FA" w:themeFill="accent1" w:themeFillTint="33"/>
            <w:vAlign w:val="center"/>
          </w:tcPr>
          <w:p>
            <w:pPr>
              <w:pStyle w:val="185"/>
              <w:widowControl/>
            </w:pPr>
            <w:r>
              <w:t>15</w:t>
            </w:r>
          </w:p>
        </w:tc>
        <w:tc>
          <w:tcPr>
            <w:tcW w:w="1064" w:type="dxa"/>
            <w:shd w:val="clear" w:color="auto" w:fill="C7E2FA" w:themeFill="accent1" w:themeFillTint="33"/>
            <w:vAlign w:val="center"/>
          </w:tcPr>
          <w:p>
            <w:pPr>
              <w:pStyle w:val="185"/>
              <w:widowControl/>
            </w:pPr>
            <w:r>
              <w:t>0.85%</w:t>
            </w:r>
          </w:p>
        </w:tc>
        <w:tc>
          <w:tcPr>
            <w:tcW w:w="1194" w:type="dxa"/>
            <w:shd w:val="clear" w:color="auto" w:fill="C7E2FA" w:themeFill="accent1" w:themeFillTint="33"/>
            <w:vAlign w:val="center"/>
          </w:tcPr>
          <w:p>
            <w:pPr>
              <w:pStyle w:val="185"/>
              <w:widowControl/>
            </w:pPr>
            <w:r>
              <w:t>10</w:t>
            </w:r>
          </w:p>
        </w:tc>
        <w:tc>
          <w:tcPr>
            <w:tcW w:w="1109" w:type="dxa"/>
            <w:shd w:val="clear" w:color="auto" w:fill="C7E2FA" w:themeFill="accent1" w:themeFillTint="33"/>
            <w:vAlign w:val="center"/>
          </w:tcPr>
          <w:p>
            <w:pPr>
              <w:pStyle w:val="185"/>
              <w:widowControl/>
            </w:pPr>
            <w:r>
              <w:t>5</w:t>
            </w:r>
          </w:p>
        </w:tc>
        <w:tc>
          <w:tcPr>
            <w:tcW w:w="1284" w:type="dxa"/>
            <w:shd w:val="clear" w:color="auto" w:fill="C7E2FA" w:themeFill="accent1" w:themeFillTint="33"/>
            <w:vAlign w:val="center"/>
          </w:tcPr>
          <w:p>
            <w:pPr>
              <w:pStyle w:val="185"/>
              <w:widowControl/>
            </w:pPr>
            <w:r>
              <w:t>2.00:1</w:t>
            </w:r>
          </w:p>
        </w:tc>
      </w:tr>
    </w:tbl>
    <w:p>
      <w:pPr>
        <w:pStyle w:val="176"/>
        <w:ind w:firstLine="360" w:firstLineChars="2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注：因四舍五入保留</w:t>
      </w:r>
      <w:r>
        <w:rPr>
          <w:color w:val="0F6FC6" w:themeColor="accent5"/>
          <w14:textFill>
            <w14:solidFill>
              <w14:schemeClr w14:val="accent5"/>
            </w14:solidFill>
          </w14:textFill>
        </w:rPr>
        <w:t>两位小数</w:t>
      </w:r>
      <w:r>
        <w:rPr>
          <w:rFonts w:hint="eastAsia"/>
          <w:color w:val="0F6FC6" w:themeColor="accent5"/>
          <w14:textFill>
            <w14:solidFill>
              <w14:schemeClr w14:val="accent5"/>
            </w14:solidFill>
          </w14:textFill>
        </w:rPr>
        <w:t>，各分项占比之和可能存在±0.01%的</w:t>
      </w:r>
      <w:r>
        <w:rPr>
          <w:color w:val="0F6FC6" w:themeColor="accent5"/>
          <w14:textFill>
            <w14:solidFill>
              <w14:schemeClr w14:val="accent5"/>
            </w14:solidFill>
          </w14:textFill>
        </w:rPr>
        <w:t>误差</w:t>
      </w:r>
      <w:r>
        <w:rPr>
          <w:rFonts w:hint="eastAsia"/>
          <w:color w:val="0F6FC6" w:themeColor="accent5"/>
          <w14:textFill>
            <w14:solidFill>
              <w14:schemeClr w14:val="accent5"/>
            </w14:solidFill>
          </w14:textFill>
        </w:rPr>
        <w:t>。</w:t>
      </w:r>
    </w:p>
    <w:p>
      <w:pPr>
        <w:pStyle w:val="176"/>
        <w:ind w:firstLine="360" w:firstLineChars="2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bookmarkEnd w:id="43"/>
    <w:p>
      <w:pPr>
        <w:pStyle w:val="151"/>
        <w:rPr>
          <w:color w:val="0F6FC6" w:themeColor="accent5"/>
          <w14:textFill>
            <w14:solidFill>
              <w14:schemeClr w14:val="accent5"/>
            </w14:solidFill>
          </w14:textFill>
        </w:rPr>
      </w:pPr>
      <w:bookmarkStart w:id="44" w:name="_Toc92706708"/>
      <w:bookmarkStart w:id="45" w:name="_Toc82010485"/>
      <w:bookmarkStart w:id="46" w:name="_Toc82010486"/>
      <w:bookmarkStart w:id="47" w:name="_Toc520907387"/>
      <w:r>
        <w:rPr>
          <w:rFonts w:hint="eastAsia"/>
          <w:color w:val="0F6FC6" w:themeColor="accent5"/>
          <w14:textFill>
            <w14:solidFill>
              <w14:schemeClr w14:val="accent5"/>
            </w14:solidFill>
          </w14:textFill>
        </w:rPr>
        <w:t>（三</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学院与专业</w:t>
      </w:r>
      <w:r>
        <w:rPr>
          <w:color w:val="0F6FC6" w:themeColor="accent5"/>
          <w14:textFill>
            <w14:solidFill>
              <w14:schemeClr w14:val="accent5"/>
            </w14:solidFill>
          </w14:textFill>
        </w:rPr>
        <w:t>结构</w:t>
      </w:r>
      <w:bookmarkEnd w:id="44"/>
      <w:bookmarkEnd w:id="45"/>
    </w:p>
    <w:p>
      <w:pPr>
        <w:pStyle w:val="178"/>
        <w:spacing w:before="156"/>
        <w:ind w:firstLine="480"/>
      </w:pPr>
      <w:r>
        <w:rPr>
          <w:rFonts w:hint="eastAsia"/>
        </w:rPr>
        <w:t>学校2021届本科毕业生共分布在12个学院37个专业。</w:t>
      </w:r>
      <w:r>
        <w:t>其中</w:t>
      </w:r>
      <w:r>
        <w:rPr>
          <w:rFonts w:hint="eastAsia"/>
        </w:rPr>
        <w:t>，医学院</w:t>
      </w:r>
      <w:r>
        <w:t>、</w:t>
      </w:r>
      <w:r>
        <w:rPr>
          <w:rFonts w:hint="eastAsia"/>
        </w:rPr>
        <w:t>师范学院本科毕业生</w:t>
      </w:r>
      <w:r>
        <w:t>人数</w:t>
      </w:r>
      <w:r>
        <w:rPr>
          <w:rFonts w:hint="eastAsia"/>
        </w:rPr>
        <w:t>较</w:t>
      </w:r>
      <w:r>
        <w:t>多，</w:t>
      </w:r>
      <w:r>
        <w:rPr>
          <w:rFonts w:hint="eastAsia"/>
        </w:rPr>
        <w:t>占比分别为15.86%</w:t>
      </w:r>
      <w:r>
        <w:t>、</w:t>
      </w:r>
      <w:r>
        <w:rPr>
          <w:rFonts w:hint="eastAsia"/>
        </w:rPr>
        <w:t>12.78%</w:t>
      </w:r>
      <w:r>
        <w:t>。</w:t>
      </w:r>
      <w:r>
        <w:rPr>
          <w:rFonts w:hint="eastAsia"/>
        </w:rPr>
        <w:t>各专业人数及性别比例详见下表。</w:t>
      </w:r>
    </w:p>
    <w:p>
      <w:pPr>
        <w:pStyle w:val="218"/>
        <w:spacing w:before="156" w:after="156"/>
      </w:pPr>
      <w:bookmarkStart w:id="48" w:name="_Toc521676283"/>
      <w:bookmarkStart w:id="49" w:name="_Toc521678785"/>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3</w:t>
      </w:r>
      <w:r>
        <w:fldChar w:fldCharType="end"/>
      </w:r>
      <w:r>
        <w:t xml:space="preserve">  </w:t>
      </w:r>
      <w:r>
        <w:rPr>
          <w:rFonts w:hint="eastAsia" w:eastAsia="宋体"/>
        </w:rPr>
        <w:t>2021</w:t>
      </w:r>
      <w:r>
        <w:rPr>
          <w:rFonts w:hint="eastAsia"/>
        </w:rPr>
        <w:t>届本科毕业生的学院与专业分布</w:t>
      </w:r>
      <w:bookmarkEnd w:id="48"/>
      <w:bookmarkEnd w:id="49"/>
    </w:p>
    <w:tbl>
      <w:tblPr>
        <w:tblStyle w:val="209"/>
        <w:tblW w:w="5000" w:type="pct"/>
        <w:jc w:val="cente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2031"/>
        <w:gridCol w:w="2326"/>
        <w:gridCol w:w="727"/>
        <w:gridCol w:w="1018"/>
        <w:gridCol w:w="727"/>
        <w:gridCol w:w="726"/>
        <w:gridCol w:w="1448"/>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tblHeader/>
          <w:jc w:val="center"/>
        </w:trPr>
        <w:tc>
          <w:tcPr>
            <w:tcW w:w="1980" w:type="dxa"/>
            <w:vMerge w:val="restart"/>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学院</w:t>
            </w:r>
          </w:p>
        </w:tc>
        <w:tc>
          <w:tcPr>
            <w:tcW w:w="2268" w:type="dxa"/>
            <w:vMerge w:val="restart"/>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专业</w:t>
            </w:r>
          </w:p>
        </w:tc>
        <w:tc>
          <w:tcPr>
            <w:tcW w:w="1701" w:type="dxa"/>
            <w:gridSpan w:val="2"/>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本科毕业生</w:t>
            </w:r>
          </w:p>
        </w:tc>
        <w:tc>
          <w:tcPr>
            <w:tcW w:w="709"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女</w:t>
            </w:r>
          </w:p>
        </w:tc>
        <w:tc>
          <w:tcPr>
            <w:tcW w:w="708"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男</w:t>
            </w:r>
          </w:p>
        </w:tc>
        <w:tc>
          <w:tcPr>
            <w:tcW w:w="1412" w:type="dxa"/>
            <w:vMerge w:val="restart"/>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男女性别比</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Merge w:val="continue"/>
            <w:shd w:val="clear" w:color="auto" w:fill="C7E2FA" w:themeFill="accent1" w:themeFillTint="33"/>
            <w:vAlign w:val="center"/>
          </w:tcPr>
          <w:p>
            <w:pPr>
              <w:jc w:val="center"/>
              <w:rPr>
                <w:rFonts w:ascii="Times New Roman" w:hAnsi="Times New Roman"/>
                <w:color w:val="FFFFFF"/>
                <w:kern w:val="2"/>
                <w:sz w:val="21"/>
                <w:szCs w:val="21"/>
              </w:rPr>
            </w:pPr>
          </w:p>
        </w:tc>
        <w:tc>
          <w:tcPr>
            <w:tcW w:w="709"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人数</w:t>
            </w:r>
          </w:p>
        </w:tc>
        <w:tc>
          <w:tcPr>
            <w:tcW w:w="992"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占比</w:t>
            </w:r>
          </w:p>
        </w:tc>
        <w:tc>
          <w:tcPr>
            <w:tcW w:w="709"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人数</w:t>
            </w:r>
          </w:p>
        </w:tc>
        <w:tc>
          <w:tcPr>
            <w:tcW w:w="708"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人数</w:t>
            </w:r>
          </w:p>
        </w:tc>
        <w:tc>
          <w:tcPr>
            <w:tcW w:w="1412" w:type="dxa"/>
            <w:vMerge w:val="continue"/>
            <w:shd w:val="clear" w:color="auto" w:fill="C7E2FA" w:themeFill="accent1" w:themeFillTint="33"/>
            <w:vAlign w:val="center"/>
          </w:tcPr>
          <w:p>
            <w:pPr>
              <w:jc w:val="center"/>
              <w:rPr>
                <w:rFonts w:ascii="Times New Roman" w:hAnsi="Times New Roman"/>
                <w:color w:val="FFFFFF"/>
                <w:kern w:val="2"/>
                <w:sz w:val="21"/>
                <w:szCs w:val="21"/>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医学院</w:t>
            </w: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口腔医学</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298</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10.32%</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180</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118</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0.66:1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护理学</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100</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3.46%</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92</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8</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0.09:1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康复治疗学</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60</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2.08%</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30</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30</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1.00:1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师范学院</w:t>
            </w: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小学教育</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255</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8.83%</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234</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21</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0.09:1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学前教育</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114</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3.95%</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111</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3</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0.03:1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艺术学院</w:t>
            </w: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音乐表演</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96</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3.32%</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69</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27</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0.39:1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视觉传达设计</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76</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2.63%</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45</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31</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0.69:1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环境设计</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69</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2.39%</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39</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30</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0.77:1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工业设计</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40</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1.39%</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16</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24</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1.50:1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产品设计</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29</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1.00%</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17</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12</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0.71:1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机械工程学院</w:t>
            </w:r>
          </w:p>
        </w:tc>
        <w:tc>
          <w:tcPr>
            <w:tcW w:w="2268" w:type="dxa"/>
            <w:vAlign w:val="center"/>
          </w:tcPr>
          <w:p>
            <w:pPr>
              <w:jc w:val="center"/>
              <w:rPr>
                <w:rFonts w:ascii="Times New Roman" w:hAnsi="Times New Roman"/>
                <w:sz w:val="21"/>
              </w:rPr>
            </w:pPr>
            <w:r>
              <w:rPr>
                <w:rFonts w:ascii="Times New Roman" w:hAnsi="Times New Roman"/>
                <w:sz w:val="21"/>
              </w:rPr>
              <w:t>机械设计制造及</w:t>
            </w:r>
          </w:p>
          <w:p>
            <w:pPr>
              <w:jc w:val="center"/>
              <w:rPr>
                <w:rFonts w:ascii="Times New Roman" w:hAnsi="Times New Roman"/>
                <w:color w:val="FFFFFF"/>
                <w:kern w:val="2"/>
                <w:sz w:val="21"/>
                <w:szCs w:val="21"/>
              </w:rPr>
            </w:pPr>
            <w:r>
              <w:rPr>
                <w:rFonts w:ascii="Times New Roman" w:hAnsi="Times New Roman"/>
                <w:sz w:val="21"/>
              </w:rPr>
              <w:t>其自动化</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105</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3.64%</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10</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95</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9.50:1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飞行器制造工程</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73</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2.53%</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12</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61</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5.08:1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机械电子工程</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49</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1.70%</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45</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11.25:1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材料成型及控制工程</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44</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1.52%</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40</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10.00:1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文学与传媒学院</w:t>
            </w: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汉语言文学</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128</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4.43%</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117</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11</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0.09:1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广播电视编导</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88</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3.05%</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69</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19</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0.28:1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网络与新媒体</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50</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1.73%</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28</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22</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0.79:1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电子信息工程学院</w:t>
            </w: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电气工程及其自动化</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111</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3.84%</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13</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98</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7.54:1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物联网工程</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78</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2.70%</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19</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59</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3.11:1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印刷工程</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44</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1.52%</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21</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23</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1.10:1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计算机工程学院</w:t>
            </w: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计算机科学与技术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116</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4.02%</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38</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78</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2.05:1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信息管理与信息系统</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69</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2.39%</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20</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49</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2.45:1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数字媒体技术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45</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1.56%</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25</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20</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0.80:1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经济与管理学院</w:t>
            </w: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财务管理</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139</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4.81%</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109</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30</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0.28:1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市场营销</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53</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1.84%</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31</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22</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0.71:1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物流管理</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34</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1.18%</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19</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15</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0.79:1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化工与药学院</w:t>
            </w: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化学工程与工艺</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60</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2.08%</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21</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39</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1.86:1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制药工程</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54</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1.87%</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35</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19</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0.54:1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复合材料与工程</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28</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0.97%</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6</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22</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3.67:1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过程装备与控制工程</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25</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0.87%</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22</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7.33:1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外国语学院</w:t>
            </w: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英语</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92</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3.19%</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86</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6</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0.07:1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商务英语</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73</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2.53%</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60</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13</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0.22:1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生物工程学院</w:t>
            </w: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食品科学与工程</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51</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1.77%</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36</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15</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0.42:1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生物工程</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45</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1.56%</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26</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19</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0.73:1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植物科学与技术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33</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1.14%</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23</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10</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0.43:1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数理学院</w:t>
            </w:r>
          </w:p>
        </w:tc>
        <w:tc>
          <w:tcPr>
            <w:tcW w:w="226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数学与应用数学</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33</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1.14%</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14</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19</w:t>
            </w:r>
          </w:p>
        </w:tc>
        <w:tc>
          <w:tcPr>
            <w:tcW w:w="141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1.36:1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ascii="Times New Roman" w:hAnsi="Times New Roman"/>
                <w:b w:val="0"/>
                <w:bCs w:val="0"/>
                <w:color w:val="FFFFFF"/>
                <w:kern w:val="2"/>
                <w:sz w:val="21"/>
                <w:szCs w:val="21"/>
              </w:rPr>
            </w:pPr>
          </w:p>
        </w:tc>
        <w:tc>
          <w:tcPr>
            <w:tcW w:w="2268" w:type="dxa"/>
            <w:vAlign w:val="center"/>
          </w:tcPr>
          <w:p>
            <w:pPr>
              <w:jc w:val="center"/>
              <w:rPr>
                <w:rFonts w:ascii="Times New Roman" w:hAnsi="Times New Roman"/>
                <w:color w:val="FFFFFF"/>
                <w:kern w:val="2"/>
                <w:sz w:val="21"/>
                <w:szCs w:val="21"/>
              </w:rPr>
            </w:pPr>
            <w:r>
              <w:rPr>
                <w:rFonts w:ascii="Times New Roman" w:hAnsi="Times New Roman"/>
                <w:sz w:val="21"/>
              </w:rPr>
              <w:t>应用物理学</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31</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1.07%</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8</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23</w:t>
            </w:r>
          </w:p>
        </w:tc>
        <w:tc>
          <w:tcPr>
            <w:tcW w:w="1412" w:type="dxa"/>
            <w:vAlign w:val="center"/>
          </w:tcPr>
          <w:p>
            <w:pPr>
              <w:jc w:val="center"/>
              <w:rPr>
                <w:rFonts w:ascii="Times New Roman" w:hAnsi="Times New Roman"/>
                <w:color w:val="FFFFFF"/>
                <w:kern w:val="2"/>
                <w:sz w:val="21"/>
                <w:szCs w:val="21"/>
              </w:rPr>
            </w:pPr>
            <w:r>
              <w:rPr>
                <w:rFonts w:ascii="Times New Roman" w:hAnsi="Times New Roman"/>
                <w:sz w:val="21"/>
              </w:rPr>
              <w:t>2.88:1</w:t>
            </w:r>
          </w:p>
        </w:tc>
      </w:tr>
    </w:tbl>
    <w:p>
      <w:pPr>
        <w:pStyle w:val="176"/>
        <w:ind w:firstLine="360" w:firstLineChars="200"/>
        <w:rPr>
          <w:color w:val="0070C0"/>
        </w:rPr>
      </w:pPr>
      <w:r>
        <w:rPr>
          <w:rFonts w:hint="eastAsia"/>
          <w:color w:val="0070C0"/>
        </w:rPr>
        <w:t>注：因四舍五入保留</w:t>
      </w:r>
      <w:r>
        <w:rPr>
          <w:color w:val="0070C0"/>
        </w:rPr>
        <w:t>两位小数</w:t>
      </w:r>
      <w:r>
        <w:rPr>
          <w:rFonts w:hint="eastAsia"/>
          <w:color w:val="0070C0"/>
        </w:rPr>
        <w:t>，各分项占比之和可能存在±0.01%的</w:t>
      </w:r>
      <w:r>
        <w:rPr>
          <w:color w:val="0070C0"/>
        </w:rPr>
        <w:t>误差</w:t>
      </w:r>
      <w:r>
        <w:rPr>
          <w:rFonts w:hint="eastAsia"/>
          <w:color w:val="0070C0"/>
        </w:rPr>
        <w:t>。</w:t>
      </w:r>
    </w:p>
    <w:p>
      <w:pPr>
        <w:pStyle w:val="176"/>
        <w:ind w:firstLine="360" w:firstLineChars="200"/>
        <w:rPr>
          <w:color w:val="0070C0"/>
        </w:rPr>
      </w:pPr>
      <w:r>
        <w:rPr>
          <w:rFonts w:hint="eastAsia"/>
          <w:color w:val="0070C0"/>
        </w:rPr>
        <w:t>数据来源：湖北省高校毕业生就业办公系统。</w:t>
      </w:r>
    </w:p>
    <w:p>
      <w:pPr>
        <w:pStyle w:val="178"/>
        <w:spacing w:before="156"/>
        <w:ind w:firstLine="480"/>
      </w:pPr>
      <w:r>
        <w:rPr>
          <w:rFonts w:hint="eastAsia"/>
        </w:rPr>
        <w:t>学校2021届专科毕业生共分布在9个学院14个专业。</w:t>
      </w:r>
      <w:r>
        <w:t>其中</w:t>
      </w:r>
      <w:r>
        <w:rPr>
          <w:rFonts w:hint="eastAsia"/>
        </w:rPr>
        <w:t>，医学院</w:t>
      </w:r>
      <w:r>
        <w:t>、</w:t>
      </w:r>
      <w:r>
        <w:rPr>
          <w:rFonts w:hint="eastAsia"/>
        </w:rPr>
        <w:t>文学与传媒学院专科毕业生</w:t>
      </w:r>
      <w:r>
        <w:t>人数</w:t>
      </w:r>
      <w:r>
        <w:rPr>
          <w:rFonts w:hint="eastAsia"/>
        </w:rPr>
        <w:t>较多</w:t>
      </w:r>
      <w:r>
        <w:t>，</w:t>
      </w:r>
      <w:r>
        <w:rPr>
          <w:rFonts w:hint="eastAsia"/>
        </w:rPr>
        <w:t>占比分别为53.30%</w:t>
      </w:r>
      <w:r>
        <w:t>、</w:t>
      </w:r>
      <w:r>
        <w:rPr>
          <w:rFonts w:hint="eastAsia"/>
        </w:rPr>
        <w:t>10.62%</w:t>
      </w:r>
      <w:r>
        <w:t>。</w:t>
      </w:r>
      <w:r>
        <w:rPr>
          <w:rFonts w:hint="eastAsia"/>
        </w:rPr>
        <w:t>各专业人数及性别比例详见下表。</w:t>
      </w:r>
    </w:p>
    <w:p>
      <w:pPr>
        <w:pStyle w:val="218"/>
        <w:spacing w:before="156" w:after="156"/>
      </w:pPr>
      <w:bookmarkStart w:id="50" w:name="_Toc521676284"/>
      <w:bookmarkStart w:id="51" w:name="_Toc521678786"/>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4</w:t>
      </w:r>
      <w:r>
        <w:fldChar w:fldCharType="end"/>
      </w:r>
      <w:r>
        <w:t xml:space="preserve">  </w:t>
      </w:r>
      <w:r>
        <w:rPr>
          <w:rFonts w:hint="eastAsia" w:eastAsia="宋体"/>
        </w:rPr>
        <w:t>2021</w:t>
      </w:r>
      <w:r>
        <w:rPr>
          <w:rFonts w:hint="eastAsia"/>
        </w:rPr>
        <w:t>届专科毕业生的学院与专业分布</w:t>
      </w:r>
      <w:bookmarkEnd w:id="50"/>
      <w:bookmarkEnd w:id="51"/>
    </w:p>
    <w:tbl>
      <w:tblPr>
        <w:tblStyle w:val="209"/>
        <w:tblW w:w="5000" w:type="pct"/>
        <w:jc w:val="cente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2030"/>
        <w:gridCol w:w="2323"/>
        <w:gridCol w:w="727"/>
        <w:gridCol w:w="1017"/>
        <w:gridCol w:w="727"/>
        <w:gridCol w:w="726"/>
        <w:gridCol w:w="1453"/>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tblHeader/>
          <w:jc w:val="center"/>
        </w:trPr>
        <w:tc>
          <w:tcPr>
            <w:tcW w:w="1981" w:type="dxa"/>
            <w:vMerge w:val="restart"/>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学院</w:t>
            </w:r>
          </w:p>
        </w:tc>
        <w:tc>
          <w:tcPr>
            <w:tcW w:w="2267" w:type="dxa"/>
            <w:vMerge w:val="restart"/>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专业</w:t>
            </w:r>
          </w:p>
        </w:tc>
        <w:tc>
          <w:tcPr>
            <w:tcW w:w="1701" w:type="dxa"/>
            <w:gridSpan w:val="2"/>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专科毕业生</w:t>
            </w:r>
          </w:p>
        </w:tc>
        <w:tc>
          <w:tcPr>
            <w:tcW w:w="709"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女</w:t>
            </w:r>
          </w:p>
        </w:tc>
        <w:tc>
          <w:tcPr>
            <w:tcW w:w="708"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男</w:t>
            </w:r>
          </w:p>
        </w:tc>
        <w:tc>
          <w:tcPr>
            <w:tcW w:w="1418" w:type="dxa"/>
            <w:vMerge w:val="restart"/>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jc w:val="center"/>
              <w:rPr>
                <w:rFonts w:ascii="Times New Roman" w:hAnsi="Times New Roman"/>
                <w:b/>
                <w:bCs/>
                <w:color w:val="FFFFFF"/>
                <w:kern w:val="2"/>
                <w:sz w:val="21"/>
                <w:szCs w:val="21"/>
              </w:rPr>
            </w:pPr>
            <w:r>
              <w:rPr>
                <w:rFonts w:hint="eastAsia" w:ascii="Times New Roman" w:hAnsi="Times New Roman"/>
                <w:b/>
                <w:bCs/>
                <w:color w:val="FFFFFF"/>
                <w:kern w:val="2"/>
                <w:sz w:val="21"/>
                <w:szCs w:val="21"/>
              </w:rPr>
              <w:t>男女性别比</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7" w:type="dxa"/>
            <w:vMerge w:val="continue"/>
            <w:shd w:val="clear" w:color="auto" w:fill="C7E2FA" w:themeFill="accent1" w:themeFillTint="33"/>
            <w:vAlign w:val="center"/>
          </w:tcPr>
          <w:p>
            <w:pPr>
              <w:jc w:val="center"/>
              <w:rPr>
                <w:rFonts w:ascii="Times New Roman" w:hAnsi="Times New Roman"/>
                <w:color w:val="FFFFFF"/>
                <w:kern w:val="2"/>
                <w:sz w:val="21"/>
                <w:szCs w:val="21"/>
              </w:rPr>
            </w:pPr>
          </w:p>
        </w:tc>
        <w:tc>
          <w:tcPr>
            <w:tcW w:w="709"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人数</w:t>
            </w:r>
          </w:p>
        </w:tc>
        <w:tc>
          <w:tcPr>
            <w:tcW w:w="992"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占比</w:t>
            </w:r>
          </w:p>
        </w:tc>
        <w:tc>
          <w:tcPr>
            <w:tcW w:w="709"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人数</w:t>
            </w:r>
          </w:p>
        </w:tc>
        <w:tc>
          <w:tcPr>
            <w:tcW w:w="708" w:type="dxa"/>
            <w:shd w:val="clear" w:color="auto" w:fill="C7E2FA" w:themeFill="accent1" w:themeFillTint="33"/>
            <w:vAlign w:val="center"/>
          </w:tcPr>
          <w:p>
            <w:pPr>
              <w:jc w:val="center"/>
              <w:rPr>
                <w:rFonts w:ascii="Times New Roman" w:hAnsi="Times New Roman"/>
                <w:kern w:val="2"/>
                <w:sz w:val="21"/>
                <w:szCs w:val="21"/>
              </w:rPr>
            </w:pPr>
            <w:r>
              <w:rPr>
                <w:rFonts w:hint="eastAsia" w:ascii="Times New Roman" w:hAnsi="Times New Roman"/>
                <w:kern w:val="2"/>
                <w:sz w:val="21"/>
                <w:szCs w:val="21"/>
              </w:rPr>
              <w:t>人数</w:t>
            </w:r>
          </w:p>
        </w:tc>
        <w:tc>
          <w:tcPr>
            <w:tcW w:w="1418" w:type="dxa"/>
            <w:vMerge w:val="continue"/>
            <w:shd w:val="clear" w:color="auto" w:fill="C7E2FA" w:themeFill="accent1" w:themeFillTint="33"/>
            <w:vAlign w:val="center"/>
          </w:tcPr>
          <w:p>
            <w:pPr>
              <w:jc w:val="center"/>
              <w:rPr>
                <w:rFonts w:ascii="Times New Roman" w:hAnsi="Times New Roman"/>
                <w:color w:val="FFFFFF"/>
                <w:kern w:val="2"/>
                <w:sz w:val="21"/>
                <w:szCs w:val="21"/>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restart"/>
            <w:shd w:val="clear" w:color="auto" w:fill="C7E2FA" w:themeFill="accent1" w:themeFillTint="33"/>
            <w:vAlign w:val="center"/>
          </w:tcPr>
          <w:p>
            <w:pPr>
              <w:jc w:val="center"/>
              <w:rPr>
                <w:rFonts w:ascii="Times New Roman" w:hAnsi="Times New Roman"/>
                <w:b/>
                <w:bCs/>
                <w:color w:val="FFFFFF"/>
                <w:kern w:val="2"/>
                <w:sz w:val="21"/>
                <w:szCs w:val="21"/>
              </w:rPr>
            </w:pPr>
            <w:r>
              <w:rPr>
                <w:rFonts w:ascii="Times New Roman" w:hAnsi="Times New Roman"/>
                <w:b w:val="0"/>
                <w:bCs w:val="0"/>
                <w:sz w:val="21"/>
              </w:rPr>
              <w:t>医学院</w:t>
            </w:r>
          </w:p>
        </w:tc>
        <w:tc>
          <w:tcPr>
            <w:tcW w:w="2267" w:type="dxa"/>
            <w:vAlign w:val="center"/>
          </w:tcPr>
          <w:p>
            <w:pPr>
              <w:jc w:val="center"/>
              <w:rPr>
                <w:rFonts w:ascii="Times New Roman" w:hAnsi="Times New Roman"/>
                <w:color w:val="FFFFFF"/>
                <w:kern w:val="2"/>
                <w:sz w:val="21"/>
                <w:szCs w:val="21"/>
              </w:rPr>
            </w:pPr>
            <w:r>
              <w:rPr>
                <w:rFonts w:ascii="Times New Roman" w:hAnsi="Times New Roman"/>
                <w:sz w:val="21"/>
              </w:rPr>
              <w:t>口腔医学</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648</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36.82%</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427</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221</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0.52:1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临床医学</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199</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11.31%</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136</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63</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0.46:1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7" w:type="dxa"/>
            <w:vAlign w:val="center"/>
          </w:tcPr>
          <w:p>
            <w:pPr>
              <w:jc w:val="center"/>
              <w:rPr>
                <w:rFonts w:ascii="Times New Roman" w:hAnsi="Times New Roman"/>
                <w:color w:val="FFFFFF"/>
                <w:kern w:val="2"/>
                <w:sz w:val="21"/>
                <w:szCs w:val="21"/>
              </w:rPr>
            </w:pPr>
            <w:r>
              <w:rPr>
                <w:rFonts w:ascii="Times New Roman" w:hAnsi="Times New Roman"/>
                <w:sz w:val="21"/>
              </w:rPr>
              <w:t>护理</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91</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5.17%</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79</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12</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0.15:1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文学与传媒学院</w:t>
            </w: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语文教育</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187</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10.62%</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170</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17</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0.10:1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计算机工程学院</w:t>
            </w:r>
          </w:p>
        </w:tc>
        <w:tc>
          <w:tcPr>
            <w:tcW w:w="2267" w:type="dxa"/>
            <w:vAlign w:val="center"/>
          </w:tcPr>
          <w:p>
            <w:pPr>
              <w:jc w:val="center"/>
              <w:rPr>
                <w:rFonts w:ascii="Times New Roman" w:hAnsi="Times New Roman"/>
                <w:color w:val="FFFFFF"/>
                <w:kern w:val="2"/>
                <w:sz w:val="21"/>
                <w:szCs w:val="21"/>
              </w:rPr>
            </w:pPr>
            <w:r>
              <w:rPr>
                <w:rFonts w:ascii="Times New Roman" w:hAnsi="Times New Roman"/>
                <w:sz w:val="21"/>
              </w:rPr>
              <w:t>计算机应用技术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177</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10.06%</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67</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110</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1.64:1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师范学院</w:t>
            </w: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学前教育</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142</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8.07%</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138</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0.03:1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经济与管理学院</w:t>
            </w:r>
          </w:p>
        </w:tc>
        <w:tc>
          <w:tcPr>
            <w:tcW w:w="2267" w:type="dxa"/>
            <w:vAlign w:val="center"/>
          </w:tcPr>
          <w:p>
            <w:pPr>
              <w:jc w:val="center"/>
              <w:rPr>
                <w:rFonts w:ascii="Times New Roman" w:hAnsi="Times New Roman"/>
                <w:color w:val="FFFFFF"/>
                <w:kern w:val="2"/>
                <w:sz w:val="21"/>
                <w:szCs w:val="21"/>
              </w:rPr>
            </w:pPr>
            <w:r>
              <w:rPr>
                <w:rFonts w:ascii="Times New Roman" w:hAnsi="Times New Roman"/>
                <w:sz w:val="21"/>
              </w:rPr>
              <w:t>会计</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115</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6.53%</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95</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20</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0.21:1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机械工程学院</w:t>
            </w: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数控技术</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72</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4.09%</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71</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71.00:1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7" w:type="dxa"/>
            <w:vAlign w:val="center"/>
          </w:tcPr>
          <w:p>
            <w:pPr>
              <w:jc w:val="center"/>
              <w:rPr>
                <w:rFonts w:ascii="Times New Roman" w:hAnsi="Times New Roman"/>
                <w:sz w:val="21"/>
              </w:rPr>
            </w:pPr>
            <w:r>
              <w:rPr>
                <w:rFonts w:ascii="Times New Roman" w:hAnsi="Times New Roman"/>
                <w:sz w:val="21"/>
              </w:rPr>
              <w:t>航空材料精密成型</w:t>
            </w:r>
          </w:p>
          <w:p>
            <w:pPr>
              <w:jc w:val="center"/>
              <w:rPr>
                <w:rFonts w:ascii="Times New Roman" w:hAnsi="Times New Roman"/>
                <w:color w:val="FFFFFF"/>
                <w:kern w:val="2"/>
                <w:sz w:val="21"/>
                <w:szCs w:val="21"/>
              </w:rPr>
            </w:pPr>
            <w:r>
              <w:rPr>
                <w:rFonts w:ascii="Times New Roman" w:hAnsi="Times New Roman"/>
                <w:sz w:val="21"/>
              </w:rPr>
              <w:t>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8</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0.45%</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7</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7.00:1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电子信息工程学院</w:t>
            </w: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电气自动化技术</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51</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2.90%</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48</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16.00:1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7" w:type="dxa"/>
            <w:vAlign w:val="center"/>
          </w:tcPr>
          <w:p>
            <w:pPr>
              <w:jc w:val="center"/>
              <w:rPr>
                <w:rFonts w:ascii="Times New Roman" w:hAnsi="Times New Roman"/>
                <w:color w:val="FFFFFF"/>
                <w:kern w:val="2"/>
                <w:sz w:val="21"/>
                <w:szCs w:val="21"/>
              </w:rPr>
            </w:pPr>
            <w:r>
              <w:rPr>
                <w:rFonts w:ascii="Times New Roman" w:hAnsi="Times New Roman"/>
                <w:sz w:val="21"/>
              </w:rPr>
              <w:t>数字图文信息技术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25</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1.42%</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15</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10</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0.67:1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生物工程学院</w:t>
            </w: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园林技术</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30</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1.70%</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16</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14</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0.88:1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restart"/>
            <w:shd w:val="clear" w:color="auto" w:fill="C7E2FA" w:themeFill="accent1" w:themeFillTint="33"/>
            <w:vAlign w:val="center"/>
          </w:tcPr>
          <w:p>
            <w:pPr>
              <w:jc w:val="center"/>
              <w:rPr>
                <w:rFonts w:ascii="Times New Roman" w:hAnsi="Times New Roman"/>
                <w:b w:val="0"/>
                <w:bCs w:val="0"/>
                <w:color w:val="FFFFFF"/>
                <w:kern w:val="2"/>
                <w:sz w:val="21"/>
                <w:szCs w:val="21"/>
              </w:rPr>
            </w:pPr>
            <w:r>
              <w:rPr>
                <w:rFonts w:ascii="Times New Roman" w:hAnsi="Times New Roman"/>
                <w:b w:val="0"/>
                <w:bCs w:val="0"/>
                <w:sz w:val="21"/>
              </w:rPr>
              <w:t>化工与药学院</w:t>
            </w:r>
          </w:p>
        </w:tc>
        <w:tc>
          <w:tcPr>
            <w:tcW w:w="2267" w:type="dxa"/>
            <w:vAlign w:val="center"/>
          </w:tcPr>
          <w:p>
            <w:pPr>
              <w:jc w:val="center"/>
              <w:rPr>
                <w:rFonts w:ascii="Times New Roman" w:hAnsi="Times New Roman"/>
                <w:color w:val="FFFFFF"/>
                <w:kern w:val="2"/>
                <w:sz w:val="21"/>
                <w:szCs w:val="21"/>
              </w:rPr>
            </w:pPr>
            <w:r>
              <w:rPr>
                <w:rFonts w:ascii="Times New Roman" w:hAnsi="Times New Roman"/>
                <w:sz w:val="21"/>
              </w:rPr>
              <w:t>应用化工技术</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10</w:t>
            </w:r>
          </w:p>
        </w:tc>
        <w:tc>
          <w:tcPr>
            <w:tcW w:w="992" w:type="dxa"/>
            <w:vAlign w:val="center"/>
          </w:tcPr>
          <w:p>
            <w:pPr>
              <w:jc w:val="center"/>
              <w:rPr>
                <w:rFonts w:ascii="Times New Roman" w:hAnsi="Times New Roman"/>
                <w:color w:val="FFFFFF"/>
                <w:kern w:val="2"/>
                <w:sz w:val="21"/>
                <w:szCs w:val="21"/>
              </w:rPr>
            </w:pPr>
            <w:r>
              <w:rPr>
                <w:rFonts w:ascii="Times New Roman" w:hAnsi="Times New Roman"/>
                <w:sz w:val="21"/>
              </w:rPr>
              <w:t>0.57%</w:t>
            </w:r>
          </w:p>
        </w:tc>
        <w:tc>
          <w:tcPr>
            <w:tcW w:w="709" w:type="dxa"/>
            <w:vAlign w:val="center"/>
          </w:tcPr>
          <w:p>
            <w:pPr>
              <w:jc w:val="center"/>
              <w:rPr>
                <w:rFonts w:ascii="Times New Roman" w:hAnsi="Times New Roman"/>
                <w:color w:val="FFFFFF"/>
                <w:kern w:val="2"/>
                <w:sz w:val="21"/>
                <w:szCs w:val="21"/>
              </w:rPr>
            </w:pPr>
            <w:r>
              <w:rPr>
                <w:rFonts w:ascii="Times New Roman" w:hAnsi="Times New Roman"/>
                <w:sz w:val="21"/>
              </w:rPr>
              <w:t>4</w:t>
            </w:r>
          </w:p>
        </w:tc>
        <w:tc>
          <w:tcPr>
            <w:tcW w:w="708" w:type="dxa"/>
            <w:vAlign w:val="center"/>
          </w:tcPr>
          <w:p>
            <w:pPr>
              <w:jc w:val="center"/>
              <w:rPr>
                <w:rFonts w:ascii="Times New Roman" w:hAnsi="Times New Roman"/>
                <w:color w:val="FFFFFF"/>
                <w:kern w:val="2"/>
                <w:sz w:val="21"/>
                <w:szCs w:val="21"/>
              </w:rPr>
            </w:pPr>
            <w:r>
              <w:rPr>
                <w:rFonts w:ascii="Times New Roman" w:hAnsi="Times New Roman"/>
                <w:sz w:val="21"/>
              </w:rPr>
              <w:t>6</w:t>
            </w:r>
          </w:p>
        </w:tc>
        <w:tc>
          <w:tcPr>
            <w:tcW w:w="1418" w:type="dxa"/>
            <w:vAlign w:val="center"/>
          </w:tcPr>
          <w:p>
            <w:pPr>
              <w:jc w:val="center"/>
              <w:rPr>
                <w:rFonts w:ascii="Times New Roman" w:hAnsi="Times New Roman"/>
                <w:color w:val="FFFFFF"/>
                <w:kern w:val="2"/>
                <w:sz w:val="21"/>
                <w:szCs w:val="21"/>
              </w:rPr>
            </w:pPr>
            <w:r>
              <w:rPr>
                <w:rFonts w:ascii="Times New Roman" w:hAnsi="Times New Roman"/>
                <w:sz w:val="21"/>
              </w:rPr>
              <w:t>1.50:1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CellMar>
            <w:top w:w="0" w:type="dxa"/>
            <w:left w:w="108" w:type="dxa"/>
            <w:bottom w:w="0" w:type="dxa"/>
            <w:right w:w="108" w:type="dxa"/>
          </w:tblCellMar>
        </w:tblPrEx>
        <w:trPr>
          <w:jc w:val="center"/>
        </w:trPr>
        <w:tc>
          <w:tcPr>
            <w:tcW w:w="1981" w:type="dxa"/>
            <w:vMerge w:val="continue"/>
            <w:shd w:val="clear" w:color="auto" w:fill="C7E2FA" w:themeFill="accent1" w:themeFillTint="33"/>
            <w:vAlign w:val="center"/>
          </w:tcPr>
          <w:p>
            <w:pPr>
              <w:jc w:val="center"/>
              <w:rPr>
                <w:rFonts w:ascii="Times New Roman" w:hAnsi="Times New Roman"/>
                <w:b w:val="0"/>
                <w:bCs w:val="0"/>
                <w:color w:val="FFFFFF"/>
                <w:kern w:val="2"/>
                <w:sz w:val="21"/>
                <w:szCs w:val="21"/>
              </w:rPr>
            </w:pPr>
          </w:p>
        </w:tc>
        <w:tc>
          <w:tcPr>
            <w:tcW w:w="2267"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石油化工技术</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5</w:t>
            </w:r>
          </w:p>
        </w:tc>
        <w:tc>
          <w:tcPr>
            <w:tcW w:w="992"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0.28%</w:t>
            </w:r>
          </w:p>
        </w:tc>
        <w:tc>
          <w:tcPr>
            <w:tcW w:w="709"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1</w:t>
            </w:r>
          </w:p>
        </w:tc>
        <w:tc>
          <w:tcPr>
            <w:tcW w:w="70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w:t>
            </w:r>
          </w:p>
        </w:tc>
        <w:tc>
          <w:tcPr>
            <w:tcW w:w="1418" w:type="dxa"/>
            <w:shd w:val="clear" w:color="auto" w:fill="C7E2FA" w:themeFill="accent1" w:themeFillTint="33"/>
            <w:vAlign w:val="center"/>
          </w:tcPr>
          <w:p>
            <w:pPr>
              <w:jc w:val="center"/>
              <w:rPr>
                <w:rFonts w:ascii="Times New Roman" w:hAnsi="Times New Roman"/>
                <w:color w:val="FFFFFF"/>
                <w:kern w:val="2"/>
                <w:sz w:val="21"/>
                <w:szCs w:val="21"/>
              </w:rPr>
            </w:pPr>
            <w:r>
              <w:rPr>
                <w:rFonts w:ascii="Times New Roman" w:hAnsi="Times New Roman"/>
                <w:sz w:val="21"/>
              </w:rPr>
              <w:t>4.00:1</w:t>
            </w:r>
          </w:p>
        </w:tc>
      </w:tr>
    </w:tbl>
    <w:p>
      <w:pPr>
        <w:pStyle w:val="176"/>
        <w:ind w:firstLine="360" w:firstLineChars="200"/>
        <w:rPr>
          <w:color w:val="0070C0"/>
        </w:rPr>
      </w:pPr>
      <w:r>
        <w:rPr>
          <w:rFonts w:hint="eastAsia"/>
          <w:color w:val="0070C0"/>
        </w:rPr>
        <w:t>注：因四舍五入保留</w:t>
      </w:r>
      <w:r>
        <w:rPr>
          <w:color w:val="0070C0"/>
        </w:rPr>
        <w:t>两位小数</w:t>
      </w:r>
      <w:r>
        <w:rPr>
          <w:rFonts w:hint="eastAsia"/>
          <w:color w:val="0070C0"/>
        </w:rPr>
        <w:t>，各分项占比之和可能存在±0.01%的</w:t>
      </w:r>
      <w:r>
        <w:rPr>
          <w:color w:val="0070C0"/>
        </w:rPr>
        <w:t>误差</w:t>
      </w:r>
      <w:r>
        <w:rPr>
          <w:rFonts w:hint="eastAsia"/>
          <w:color w:val="0070C0"/>
        </w:rPr>
        <w:t>。</w:t>
      </w:r>
    </w:p>
    <w:p>
      <w:pPr>
        <w:pStyle w:val="176"/>
        <w:ind w:firstLine="360" w:firstLineChars="200"/>
        <w:rPr>
          <w:color w:val="0070C0"/>
        </w:rPr>
      </w:pPr>
      <w:r>
        <w:rPr>
          <w:rFonts w:hint="eastAsia"/>
          <w:color w:val="0070C0"/>
        </w:rPr>
        <w:t>数据来源：湖北省高校毕业生就业办公系统。</w:t>
      </w:r>
    </w:p>
    <w:p>
      <w:pPr>
        <w:pStyle w:val="151"/>
        <w:rPr>
          <w:color w:val="0F6FC6" w:themeColor="accent5"/>
          <w14:textFill>
            <w14:solidFill>
              <w14:schemeClr w14:val="accent5"/>
            </w14:solidFill>
          </w14:textFill>
        </w:rPr>
      </w:pPr>
      <w:bookmarkStart w:id="52" w:name="_Toc92706709"/>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民族</w:t>
      </w:r>
      <w:r>
        <w:rPr>
          <w:color w:val="0F6FC6" w:themeColor="accent5"/>
          <w14:textFill>
            <w14:solidFill>
              <w14:schemeClr w14:val="accent5"/>
            </w14:solidFill>
          </w14:textFill>
        </w:rPr>
        <w:t>结构</w:t>
      </w:r>
      <w:bookmarkEnd w:id="52"/>
    </w:p>
    <w:p>
      <w:pPr>
        <w:pStyle w:val="178"/>
        <w:spacing w:before="156"/>
        <w:ind w:firstLine="480"/>
      </w:pPr>
      <w:r>
        <w:t>学校2021届毕业生中，</w:t>
      </w:r>
      <w:r>
        <w:rPr>
          <w:rFonts w:hint="eastAsia"/>
        </w:rPr>
        <w:t>汉族毕业生</w:t>
      </w:r>
      <w:r>
        <w:t>4326人，</w:t>
      </w:r>
      <w:r>
        <w:rPr>
          <w:rFonts w:hint="eastAsia"/>
        </w:rPr>
        <w:t>少数民族毕业生</w:t>
      </w:r>
      <w:r>
        <w:t>322人。</w:t>
      </w:r>
      <w:r>
        <w:rPr>
          <w:rFonts w:hint="eastAsia"/>
        </w:rPr>
        <w:t>其中，少数民族主要以“土家族”、“苗族”为主，占比分别为3</w:t>
      </w:r>
      <w:r>
        <w:t>.17%</w:t>
      </w:r>
      <w:r>
        <w:rPr>
          <w:rFonts w:hint="eastAsia"/>
        </w:rPr>
        <w:t>、0</w:t>
      </w:r>
      <w:r>
        <w:t>.86%</w:t>
      </w:r>
      <w:r>
        <w:rPr>
          <w:rFonts w:hint="eastAsia"/>
        </w:rPr>
        <w:t>。</w:t>
      </w:r>
    </w:p>
    <w:p>
      <w:pPr>
        <w:pStyle w:val="180"/>
      </w:pPr>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5</w:t>
      </w:r>
      <w:r>
        <w:fldChar w:fldCharType="end"/>
      </w:r>
      <w:r>
        <w:t xml:space="preserve">  </w:t>
      </w:r>
      <w:r>
        <w:rPr>
          <w:rFonts w:hint="eastAsia" w:eastAsia="宋体"/>
        </w:rPr>
        <w:t>2021</w:t>
      </w:r>
      <w:r>
        <w:rPr>
          <w:rFonts w:hint="eastAsia"/>
        </w:rPr>
        <w:t>届</w:t>
      </w:r>
      <w:r>
        <w:rPr>
          <w:rFonts w:hint="eastAsia"/>
          <w:bCs/>
        </w:rPr>
        <w:t>毕业生民族结构</w:t>
      </w:r>
    </w:p>
    <w:tbl>
      <w:tblPr>
        <w:tblStyle w:val="232"/>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698"/>
        <w:gridCol w:w="1217"/>
        <w:gridCol w:w="1217"/>
        <w:gridCol w:w="1217"/>
        <w:gridCol w:w="1217"/>
        <w:gridCol w:w="1218"/>
        <w:gridCol w:w="1220"/>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blHeader/>
        </w:trPr>
        <w:tc>
          <w:tcPr>
            <w:tcW w:w="943" w:type="pct"/>
            <w:vMerge w:val="restart"/>
            <w:tcBorders>
              <w:top w:val="single" w:color="0F6FC6" w:sz="4" w:space="0"/>
              <w:left w:val="single" w:color="0F6FC6" w:sz="4" w:space="0"/>
              <w:bottom w:val="single" w:color="0F6FC6" w:sz="4" w:space="0"/>
              <w:right w:val="nil"/>
              <w:insideH w:val="single" w:sz="4" w:space="0"/>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民族</w:t>
            </w:r>
          </w:p>
        </w:tc>
        <w:tc>
          <w:tcPr>
            <w:tcW w:w="1352" w:type="pct"/>
            <w:gridSpan w:val="2"/>
            <w:tcBorders>
              <w:top w:val="single" w:color="0F6FC6" w:sz="4" w:space="0"/>
              <w:bottom w:val="single" w:color="0F6FC6" w:sz="4" w:space="0"/>
              <w:right w:val="nil"/>
              <w:insideH w:val="single" w:sz="4" w:space="0"/>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本科毕业生</w:t>
            </w:r>
          </w:p>
        </w:tc>
        <w:tc>
          <w:tcPr>
            <w:tcW w:w="1352" w:type="pct"/>
            <w:gridSpan w:val="2"/>
            <w:tcBorders>
              <w:top w:val="single" w:color="0F6FC6" w:sz="4" w:space="0"/>
              <w:bottom w:val="single" w:color="0F6FC6" w:sz="4" w:space="0"/>
              <w:right w:val="nil"/>
              <w:insideH w:val="single" w:sz="4" w:space="0"/>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专科毕业生</w:t>
            </w:r>
          </w:p>
        </w:tc>
        <w:tc>
          <w:tcPr>
            <w:tcW w:w="1353" w:type="pct"/>
            <w:gridSpan w:val="2"/>
            <w:tcBorders>
              <w:top w:val="single" w:color="0F6FC6" w:sz="4" w:space="0"/>
              <w:bottom w:val="single" w:color="0F6FC6" w:sz="4" w:space="0"/>
              <w:right w:val="single" w:color="0F6FC6" w:sz="4" w:space="0"/>
              <w:insideH w:val="single" w:sz="4" w:space="0"/>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vMerge w:val="continue"/>
            <w:shd w:val="clear" w:color="auto" w:fill="C7E2FA"/>
            <w:noWrap/>
            <w:vAlign w:val="center"/>
          </w:tcPr>
          <w:p>
            <w:pPr>
              <w:pStyle w:val="185"/>
              <w:spacing w:before="100"/>
              <w:rPr>
                <w:rFonts w:cs="Times New Roman"/>
                <w:b w:val="0"/>
                <w:bCs w:val="0"/>
              </w:rPr>
            </w:pPr>
          </w:p>
        </w:tc>
        <w:tc>
          <w:tcPr>
            <w:tcW w:w="676" w:type="pct"/>
            <w:shd w:val="clear" w:color="auto" w:fill="C7E2FA"/>
            <w:noWrap/>
            <w:vAlign w:val="center"/>
          </w:tcPr>
          <w:p>
            <w:pPr>
              <w:pStyle w:val="185"/>
              <w:spacing w:before="100"/>
              <w:rPr>
                <w:rFonts w:cs="Times New Roman"/>
                <w:color w:val="000000"/>
              </w:rPr>
            </w:pPr>
            <w:r>
              <w:rPr>
                <w:rFonts w:cs="Times New Roman"/>
                <w:color w:val="000000"/>
              </w:rPr>
              <w:t>人数</w:t>
            </w:r>
          </w:p>
        </w:tc>
        <w:tc>
          <w:tcPr>
            <w:tcW w:w="676" w:type="pct"/>
            <w:shd w:val="clear" w:color="auto" w:fill="C7E2FA"/>
            <w:noWrap/>
            <w:vAlign w:val="center"/>
          </w:tcPr>
          <w:p>
            <w:pPr>
              <w:pStyle w:val="185"/>
              <w:spacing w:before="100"/>
              <w:rPr>
                <w:rFonts w:cs="Times New Roman"/>
                <w:color w:val="000000"/>
              </w:rPr>
            </w:pPr>
            <w:r>
              <w:rPr>
                <w:rFonts w:cs="Times New Roman"/>
                <w:color w:val="000000"/>
              </w:rPr>
              <w:t>比例</w:t>
            </w:r>
          </w:p>
        </w:tc>
        <w:tc>
          <w:tcPr>
            <w:tcW w:w="676" w:type="pct"/>
            <w:shd w:val="clear" w:color="auto" w:fill="C7E2FA"/>
            <w:noWrap/>
            <w:vAlign w:val="center"/>
          </w:tcPr>
          <w:p>
            <w:pPr>
              <w:pStyle w:val="185"/>
              <w:spacing w:before="100"/>
              <w:rPr>
                <w:rFonts w:cs="Times New Roman"/>
                <w:color w:val="000000"/>
              </w:rPr>
            </w:pPr>
            <w:r>
              <w:rPr>
                <w:rFonts w:cs="Times New Roman"/>
                <w:color w:val="000000"/>
              </w:rPr>
              <w:t>人数</w:t>
            </w:r>
          </w:p>
        </w:tc>
        <w:tc>
          <w:tcPr>
            <w:tcW w:w="676" w:type="pct"/>
            <w:shd w:val="clear" w:color="auto" w:fill="C7E2FA"/>
            <w:noWrap/>
            <w:vAlign w:val="center"/>
          </w:tcPr>
          <w:p>
            <w:pPr>
              <w:pStyle w:val="185"/>
              <w:spacing w:before="100"/>
              <w:rPr>
                <w:rFonts w:cs="Times New Roman"/>
                <w:color w:val="000000"/>
              </w:rPr>
            </w:pPr>
            <w:r>
              <w:rPr>
                <w:rFonts w:cs="Times New Roman"/>
                <w:color w:val="000000"/>
              </w:rPr>
              <w:t>比例</w:t>
            </w:r>
          </w:p>
        </w:tc>
        <w:tc>
          <w:tcPr>
            <w:tcW w:w="676" w:type="pct"/>
            <w:shd w:val="clear" w:color="auto" w:fill="C7E2FA"/>
            <w:noWrap/>
            <w:vAlign w:val="center"/>
          </w:tcPr>
          <w:p>
            <w:pPr>
              <w:pStyle w:val="185"/>
              <w:spacing w:before="100"/>
              <w:rPr>
                <w:rFonts w:cs="Times New Roman"/>
                <w:color w:val="000000"/>
              </w:rPr>
            </w:pPr>
            <w:r>
              <w:rPr>
                <w:rFonts w:cs="Times New Roman"/>
                <w:color w:val="000000"/>
              </w:rPr>
              <w:t>人数</w:t>
            </w:r>
          </w:p>
        </w:tc>
        <w:tc>
          <w:tcPr>
            <w:tcW w:w="677" w:type="pct"/>
            <w:shd w:val="clear" w:color="auto" w:fill="C7E2FA"/>
            <w:noWrap/>
            <w:vAlign w:val="center"/>
          </w:tcPr>
          <w:p>
            <w:pPr>
              <w:pStyle w:val="185"/>
              <w:spacing w:before="100"/>
              <w:rPr>
                <w:rFonts w:cs="Times New Roman"/>
                <w:color w:val="000000"/>
              </w:rPr>
            </w:pPr>
            <w:r>
              <w:rPr>
                <w:rFonts w:cs="Times New Roman"/>
                <w:color w:val="000000"/>
              </w:rPr>
              <w:t>比例</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汉族</w:t>
            </w:r>
          </w:p>
        </w:tc>
        <w:tc>
          <w:tcPr>
            <w:tcW w:w="676" w:type="pct"/>
            <w:noWrap/>
            <w:vAlign w:val="center"/>
          </w:tcPr>
          <w:p>
            <w:pPr>
              <w:pStyle w:val="185"/>
              <w:spacing w:before="100"/>
              <w:rPr>
                <w:rFonts w:cs="Times New Roman"/>
                <w:color w:val="000000"/>
              </w:rPr>
            </w:pPr>
            <w:r>
              <w:rPr>
                <w:rFonts w:cs="Times New Roman"/>
                <w:color w:val="000000"/>
                <w:sz w:val="22"/>
                <w:szCs w:val="22"/>
              </w:rPr>
              <w:t>2701</w:t>
            </w:r>
          </w:p>
        </w:tc>
        <w:tc>
          <w:tcPr>
            <w:tcW w:w="676" w:type="pct"/>
            <w:noWrap/>
            <w:vAlign w:val="center"/>
          </w:tcPr>
          <w:p>
            <w:pPr>
              <w:pStyle w:val="185"/>
              <w:spacing w:before="100"/>
              <w:rPr>
                <w:rFonts w:cs="Times New Roman"/>
                <w:color w:val="000000"/>
              </w:rPr>
            </w:pPr>
            <w:r>
              <w:rPr>
                <w:rFonts w:cs="Times New Roman"/>
                <w:color w:val="000000"/>
                <w:sz w:val="22"/>
                <w:szCs w:val="22"/>
              </w:rPr>
              <w:t>93.52%</w:t>
            </w:r>
          </w:p>
        </w:tc>
        <w:tc>
          <w:tcPr>
            <w:tcW w:w="676" w:type="pct"/>
            <w:noWrap/>
            <w:vAlign w:val="center"/>
          </w:tcPr>
          <w:p>
            <w:pPr>
              <w:pStyle w:val="185"/>
              <w:spacing w:before="100"/>
              <w:rPr>
                <w:rFonts w:cs="Times New Roman"/>
                <w:color w:val="000000"/>
              </w:rPr>
            </w:pPr>
            <w:r>
              <w:rPr>
                <w:rFonts w:cs="Times New Roman"/>
                <w:color w:val="000000"/>
                <w:sz w:val="22"/>
                <w:szCs w:val="22"/>
              </w:rPr>
              <w:t>1625</w:t>
            </w:r>
          </w:p>
        </w:tc>
        <w:tc>
          <w:tcPr>
            <w:tcW w:w="676" w:type="pct"/>
            <w:noWrap/>
            <w:vAlign w:val="center"/>
          </w:tcPr>
          <w:p>
            <w:pPr>
              <w:pStyle w:val="185"/>
              <w:spacing w:before="100"/>
              <w:rPr>
                <w:rFonts w:cs="Times New Roman"/>
                <w:color w:val="000000"/>
              </w:rPr>
            </w:pPr>
            <w:r>
              <w:rPr>
                <w:rFonts w:cs="Times New Roman"/>
                <w:color w:val="000000"/>
                <w:sz w:val="22"/>
                <w:szCs w:val="22"/>
              </w:rPr>
              <w:t>92.33%</w:t>
            </w:r>
          </w:p>
        </w:tc>
        <w:tc>
          <w:tcPr>
            <w:tcW w:w="676" w:type="pct"/>
            <w:noWrap/>
            <w:vAlign w:val="center"/>
          </w:tcPr>
          <w:p>
            <w:pPr>
              <w:pStyle w:val="185"/>
              <w:spacing w:before="100"/>
              <w:rPr>
                <w:rFonts w:cs="Times New Roman"/>
                <w:color w:val="000000"/>
              </w:rPr>
            </w:pPr>
            <w:r>
              <w:rPr>
                <w:rFonts w:cs="Times New Roman"/>
                <w:color w:val="000000"/>
                <w:sz w:val="22"/>
                <w:szCs w:val="22"/>
              </w:rPr>
              <w:t>4326</w:t>
            </w:r>
          </w:p>
        </w:tc>
        <w:tc>
          <w:tcPr>
            <w:tcW w:w="677" w:type="pct"/>
            <w:noWrap/>
            <w:vAlign w:val="center"/>
          </w:tcPr>
          <w:p>
            <w:pPr>
              <w:pStyle w:val="185"/>
              <w:spacing w:before="100"/>
              <w:rPr>
                <w:rFonts w:cs="Times New Roman"/>
                <w:color w:val="000000"/>
              </w:rPr>
            </w:pPr>
            <w:r>
              <w:rPr>
                <w:rFonts w:cs="Times New Roman"/>
                <w:color w:val="000000"/>
                <w:sz w:val="22"/>
                <w:szCs w:val="22"/>
              </w:rPr>
              <w:t>93.07%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土家族</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78</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2.70%</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74</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4.20%</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152</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3.27%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苗族</w:t>
            </w:r>
          </w:p>
        </w:tc>
        <w:tc>
          <w:tcPr>
            <w:tcW w:w="676" w:type="pct"/>
            <w:noWrap/>
            <w:vAlign w:val="center"/>
          </w:tcPr>
          <w:p>
            <w:pPr>
              <w:pStyle w:val="185"/>
              <w:spacing w:before="100"/>
              <w:rPr>
                <w:rFonts w:cs="Times New Roman"/>
                <w:color w:val="000000"/>
              </w:rPr>
            </w:pPr>
            <w:r>
              <w:rPr>
                <w:rFonts w:cs="Times New Roman"/>
                <w:color w:val="000000"/>
                <w:sz w:val="22"/>
                <w:szCs w:val="22"/>
              </w:rPr>
              <w:t>25</w:t>
            </w:r>
          </w:p>
        </w:tc>
        <w:tc>
          <w:tcPr>
            <w:tcW w:w="676" w:type="pct"/>
            <w:noWrap/>
            <w:vAlign w:val="center"/>
          </w:tcPr>
          <w:p>
            <w:pPr>
              <w:pStyle w:val="185"/>
              <w:spacing w:before="100"/>
              <w:rPr>
                <w:rFonts w:cs="Times New Roman"/>
                <w:color w:val="000000"/>
              </w:rPr>
            </w:pPr>
            <w:r>
              <w:rPr>
                <w:rFonts w:cs="Times New Roman"/>
                <w:color w:val="000000"/>
                <w:sz w:val="22"/>
                <w:szCs w:val="22"/>
              </w:rPr>
              <w:t>0.87%</w:t>
            </w:r>
          </w:p>
        </w:tc>
        <w:tc>
          <w:tcPr>
            <w:tcW w:w="676" w:type="pct"/>
            <w:noWrap/>
            <w:vAlign w:val="center"/>
          </w:tcPr>
          <w:p>
            <w:pPr>
              <w:pStyle w:val="185"/>
              <w:spacing w:before="100"/>
              <w:rPr>
                <w:rFonts w:cs="Times New Roman"/>
                <w:color w:val="000000"/>
              </w:rPr>
            </w:pPr>
            <w:r>
              <w:rPr>
                <w:rFonts w:cs="Times New Roman"/>
                <w:color w:val="000000"/>
                <w:sz w:val="22"/>
                <w:szCs w:val="22"/>
              </w:rPr>
              <w:t>15</w:t>
            </w:r>
          </w:p>
        </w:tc>
        <w:tc>
          <w:tcPr>
            <w:tcW w:w="676" w:type="pct"/>
            <w:noWrap/>
            <w:vAlign w:val="center"/>
          </w:tcPr>
          <w:p>
            <w:pPr>
              <w:pStyle w:val="185"/>
              <w:spacing w:before="100"/>
              <w:rPr>
                <w:rFonts w:cs="Times New Roman"/>
                <w:color w:val="000000"/>
              </w:rPr>
            </w:pPr>
            <w:r>
              <w:rPr>
                <w:rFonts w:cs="Times New Roman"/>
                <w:color w:val="000000"/>
                <w:sz w:val="22"/>
                <w:szCs w:val="22"/>
              </w:rPr>
              <w:t>0.85%</w:t>
            </w:r>
          </w:p>
        </w:tc>
        <w:tc>
          <w:tcPr>
            <w:tcW w:w="676" w:type="pct"/>
            <w:noWrap/>
            <w:vAlign w:val="center"/>
          </w:tcPr>
          <w:p>
            <w:pPr>
              <w:pStyle w:val="185"/>
              <w:spacing w:before="100"/>
              <w:rPr>
                <w:rFonts w:cs="Times New Roman"/>
                <w:color w:val="000000"/>
              </w:rPr>
            </w:pPr>
            <w:r>
              <w:rPr>
                <w:rFonts w:cs="Times New Roman"/>
                <w:color w:val="000000"/>
                <w:sz w:val="22"/>
                <w:szCs w:val="22"/>
              </w:rPr>
              <w:t>40</w:t>
            </w:r>
          </w:p>
        </w:tc>
        <w:tc>
          <w:tcPr>
            <w:tcW w:w="677" w:type="pct"/>
            <w:noWrap/>
            <w:vAlign w:val="center"/>
          </w:tcPr>
          <w:p>
            <w:pPr>
              <w:pStyle w:val="185"/>
              <w:spacing w:before="100"/>
              <w:rPr>
                <w:rFonts w:cs="Times New Roman"/>
                <w:color w:val="000000"/>
              </w:rPr>
            </w:pPr>
            <w:r>
              <w:rPr>
                <w:rFonts w:cs="Times New Roman"/>
                <w:color w:val="000000"/>
                <w:sz w:val="22"/>
                <w:szCs w:val="22"/>
              </w:rPr>
              <w:t>0.86%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回族</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13</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0.45%</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15</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0.85%</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28</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0.60%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布依族</w:t>
            </w:r>
          </w:p>
        </w:tc>
        <w:tc>
          <w:tcPr>
            <w:tcW w:w="676" w:type="pct"/>
            <w:noWrap/>
            <w:vAlign w:val="center"/>
          </w:tcPr>
          <w:p>
            <w:pPr>
              <w:pStyle w:val="185"/>
              <w:spacing w:before="100"/>
              <w:rPr>
                <w:rFonts w:cs="Times New Roman"/>
                <w:color w:val="000000"/>
              </w:rPr>
            </w:pPr>
            <w:r>
              <w:rPr>
                <w:rFonts w:cs="Times New Roman"/>
                <w:color w:val="000000"/>
                <w:sz w:val="22"/>
                <w:szCs w:val="22"/>
              </w:rPr>
              <w:t>15</w:t>
            </w:r>
          </w:p>
        </w:tc>
        <w:tc>
          <w:tcPr>
            <w:tcW w:w="676" w:type="pct"/>
            <w:noWrap/>
            <w:vAlign w:val="center"/>
          </w:tcPr>
          <w:p>
            <w:pPr>
              <w:pStyle w:val="185"/>
              <w:spacing w:before="100"/>
              <w:rPr>
                <w:rFonts w:cs="Times New Roman"/>
                <w:color w:val="000000"/>
              </w:rPr>
            </w:pPr>
            <w:r>
              <w:rPr>
                <w:rFonts w:cs="Times New Roman"/>
                <w:color w:val="000000"/>
                <w:sz w:val="22"/>
                <w:szCs w:val="22"/>
              </w:rPr>
              <w:t>0.52%</w:t>
            </w:r>
          </w:p>
        </w:tc>
        <w:tc>
          <w:tcPr>
            <w:tcW w:w="676" w:type="pct"/>
            <w:noWrap/>
            <w:vAlign w:val="center"/>
          </w:tcPr>
          <w:p>
            <w:pPr>
              <w:pStyle w:val="185"/>
              <w:spacing w:before="100"/>
              <w:rPr>
                <w:rFonts w:cs="Times New Roman"/>
                <w:color w:val="000000"/>
              </w:rPr>
            </w:pPr>
            <w:r>
              <w:rPr>
                <w:rFonts w:cs="Times New Roman"/>
                <w:color w:val="000000"/>
                <w:sz w:val="22"/>
                <w:szCs w:val="22"/>
              </w:rPr>
              <w:t>5</w:t>
            </w:r>
          </w:p>
        </w:tc>
        <w:tc>
          <w:tcPr>
            <w:tcW w:w="676" w:type="pct"/>
            <w:noWrap/>
            <w:vAlign w:val="center"/>
          </w:tcPr>
          <w:p>
            <w:pPr>
              <w:pStyle w:val="185"/>
              <w:spacing w:before="100"/>
              <w:rPr>
                <w:rFonts w:cs="Times New Roman"/>
                <w:color w:val="000000"/>
              </w:rPr>
            </w:pPr>
            <w:r>
              <w:rPr>
                <w:rFonts w:cs="Times New Roman"/>
                <w:color w:val="000000"/>
                <w:sz w:val="22"/>
                <w:szCs w:val="22"/>
              </w:rPr>
              <w:t>0.28%</w:t>
            </w:r>
          </w:p>
        </w:tc>
        <w:tc>
          <w:tcPr>
            <w:tcW w:w="676" w:type="pct"/>
            <w:noWrap/>
            <w:vAlign w:val="center"/>
          </w:tcPr>
          <w:p>
            <w:pPr>
              <w:pStyle w:val="185"/>
              <w:spacing w:before="100"/>
              <w:rPr>
                <w:rFonts w:cs="Times New Roman"/>
                <w:color w:val="000000"/>
              </w:rPr>
            </w:pPr>
            <w:r>
              <w:rPr>
                <w:rFonts w:cs="Times New Roman"/>
                <w:color w:val="000000"/>
                <w:sz w:val="22"/>
                <w:szCs w:val="22"/>
              </w:rPr>
              <w:t>20</w:t>
            </w:r>
          </w:p>
        </w:tc>
        <w:tc>
          <w:tcPr>
            <w:tcW w:w="677" w:type="pct"/>
            <w:noWrap/>
            <w:vAlign w:val="center"/>
          </w:tcPr>
          <w:p>
            <w:pPr>
              <w:pStyle w:val="185"/>
              <w:spacing w:before="100"/>
              <w:rPr>
                <w:rFonts w:cs="Times New Roman"/>
                <w:color w:val="000000"/>
              </w:rPr>
            </w:pPr>
            <w:r>
              <w:rPr>
                <w:rFonts w:cs="Times New Roman"/>
                <w:color w:val="000000"/>
                <w:sz w:val="22"/>
                <w:szCs w:val="22"/>
              </w:rPr>
              <w:t>0.43%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壮族</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9</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0.31%</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7</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0.40%</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16</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0.34%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藏族</w:t>
            </w:r>
          </w:p>
        </w:tc>
        <w:tc>
          <w:tcPr>
            <w:tcW w:w="676" w:type="pct"/>
            <w:noWrap/>
            <w:vAlign w:val="center"/>
          </w:tcPr>
          <w:p>
            <w:pPr>
              <w:pStyle w:val="185"/>
              <w:spacing w:before="100"/>
              <w:rPr>
                <w:rFonts w:cs="Times New Roman"/>
                <w:color w:val="000000"/>
              </w:rPr>
            </w:pPr>
            <w:r>
              <w:rPr>
                <w:rFonts w:cs="Times New Roman"/>
                <w:color w:val="000000"/>
                <w:sz w:val="22"/>
                <w:szCs w:val="22"/>
              </w:rPr>
              <w:t>15</w:t>
            </w:r>
          </w:p>
        </w:tc>
        <w:tc>
          <w:tcPr>
            <w:tcW w:w="676" w:type="pct"/>
            <w:noWrap/>
            <w:vAlign w:val="center"/>
          </w:tcPr>
          <w:p>
            <w:pPr>
              <w:pStyle w:val="185"/>
              <w:spacing w:before="100"/>
              <w:rPr>
                <w:rFonts w:cs="Times New Roman"/>
                <w:color w:val="000000"/>
              </w:rPr>
            </w:pPr>
            <w:r>
              <w:rPr>
                <w:rFonts w:cs="Times New Roman"/>
                <w:color w:val="000000"/>
                <w:sz w:val="22"/>
                <w:szCs w:val="22"/>
              </w:rPr>
              <w:t>0.52%</w:t>
            </w:r>
          </w:p>
        </w:tc>
        <w:tc>
          <w:tcPr>
            <w:tcW w:w="676" w:type="pct"/>
            <w:noWrap/>
            <w:vAlign w:val="center"/>
          </w:tcPr>
          <w:p>
            <w:pPr>
              <w:pStyle w:val="185"/>
              <w:spacing w:before="100"/>
              <w:rPr>
                <w:rFonts w:cs="Times New Roman"/>
                <w:color w:val="000000"/>
              </w:rPr>
            </w:pPr>
            <w:r>
              <w:rPr>
                <w:rFonts w:hint="eastAsia"/>
                <w:color w:val="000000"/>
              </w:rPr>
              <w:t>-</w:t>
            </w:r>
          </w:p>
        </w:tc>
        <w:tc>
          <w:tcPr>
            <w:tcW w:w="676" w:type="pct"/>
            <w:noWrap/>
            <w:vAlign w:val="center"/>
          </w:tcPr>
          <w:p>
            <w:pPr>
              <w:pStyle w:val="185"/>
              <w:spacing w:before="100"/>
              <w:rPr>
                <w:rFonts w:cs="Times New Roman"/>
                <w:color w:val="000000"/>
              </w:rPr>
            </w:pPr>
            <w:r>
              <w:rPr>
                <w:rFonts w:hint="eastAsia"/>
                <w:color w:val="000000"/>
              </w:rPr>
              <w:t>-</w:t>
            </w:r>
          </w:p>
        </w:tc>
        <w:tc>
          <w:tcPr>
            <w:tcW w:w="676" w:type="pct"/>
            <w:noWrap/>
            <w:vAlign w:val="center"/>
          </w:tcPr>
          <w:p>
            <w:pPr>
              <w:pStyle w:val="185"/>
              <w:spacing w:before="100"/>
              <w:rPr>
                <w:rFonts w:cs="Times New Roman"/>
                <w:color w:val="000000"/>
              </w:rPr>
            </w:pPr>
            <w:r>
              <w:rPr>
                <w:rFonts w:cs="Times New Roman"/>
                <w:color w:val="000000"/>
                <w:sz w:val="22"/>
                <w:szCs w:val="22"/>
              </w:rPr>
              <w:t>15</w:t>
            </w:r>
          </w:p>
        </w:tc>
        <w:tc>
          <w:tcPr>
            <w:tcW w:w="677" w:type="pct"/>
            <w:noWrap/>
            <w:vAlign w:val="center"/>
          </w:tcPr>
          <w:p>
            <w:pPr>
              <w:pStyle w:val="185"/>
              <w:spacing w:before="100"/>
              <w:rPr>
                <w:rFonts w:cs="Times New Roman"/>
                <w:color w:val="000000"/>
              </w:rPr>
            </w:pPr>
            <w:r>
              <w:rPr>
                <w:rFonts w:cs="Times New Roman"/>
                <w:color w:val="000000"/>
                <w:sz w:val="22"/>
                <w:szCs w:val="22"/>
              </w:rPr>
              <w:t>0.32%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侗族</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9</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0.31%</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2</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0.11%</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11</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0.24%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彝族</w:t>
            </w:r>
          </w:p>
        </w:tc>
        <w:tc>
          <w:tcPr>
            <w:tcW w:w="676" w:type="pct"/>
            <w:noWrap/>
            <w:vAlign w:val="center"/>
          </w:tcPr>
          <w:p>
            <w:pPr>
              <w:pStyle w:val="185"/>
              <w:spacing w:before="100"/>
              <w:rPr>
                <w:rFonts w:cs="Times New Roman"/>
                <w:color w:val="000000"/>
              </w:rPr>
            </w:pPr>
            <w:r>
              <w:rPr>
                <w:rFonts w:cs="Times New Roman"/>
                <w:color w:val="000000"/>
                <w:sz w:val="22"/>
                <w:szCs w:val="22"/>
              </w:rPr>
              <w:t>5</w:t>
            </w:r>
          </w:p>
        </w:tc>
        <w:tc>
          <w:tcPr>
            <w:tcW w:w="676" w:type="pct"/>
            <w:noWrap/>
            <w:vAlign w:val="center"/>
          </w:tcPr>
          <w:p>
            <w:pPr>
              <w:pStyle w:val="185"/>
              <w:spacing w:before="100"/>
              <w:rPr>
                <w:rFonts w:cs="Times New Roman"/>
                <w:color w:val="000000"/>
              </w:rPr>
            </w:pPr>
            <w:r>
              <w:rPr>
                <w:rFonts w:cs="Times New Roman"/>
                <w:color w:val="000000"/>
                <w:sz w:val="22"/>
                <w:szCs w:val="22"/>
              </w:rPr>
              <w:t>0.17%</w:t>
            </w:r>
          </w:p>
        </w:tc>
        <w:tc>
          <w:tcPr>
            <w:tcW w:w="676" w:type="pct"/>
            <w:noWrap/>
            <w:vAlign w:val="center"/>
          </w:tcPr>
          <w:p>
            <w:pPr>
              <w:pStyle w:val="185"/>
              <w:spacing w:before="100"/>
              <w:rPr>
                <w:rFonts w:cs="Times New Roman"/>
                <w:color w:val="000000"/>
              </w:rPr>
            </w:pPr>
            <w:r>
              <w:rPr>
                <w:rFonts w:cs="Times New Roman"/>
                <w:color w:val="000000"/>
                <w:sz w:val="22"/>
                <w:szCs w:val="22"/>
              </w:rPr>
              <w:t>3</w:t>
            </w:r>
          </w:p>
        </w:tc>
        <w:tc>
          <w:tcPr>
            <w:tcW w:w="676" w:type="pct"/>
            <w:noWrap/>
            <w:vAlign w:val="center"/>
          </w:tcPr>
          <w:p>
            <w:pPr>
              <w:pStyle w:val="185"/>
              <w:spacing w:before="100"/>
              <w:rPr>
                <w:rFonts w:cs="Times New Roman"/>
                <w:color w:val="000000"/>
              </w:rPr>
            </w:pPr>
            <w:r>
              <w:rPr>
                <w:rFonts w:cs="Times New Roman"/>
                <w:color w:val="000000"/>
                <w:sz w:val="22"/>
                <w:szCs w:val="22"/>
              </w:rPr>
              <w:t>0.17%</w:t>
            </w:r>
          </w:p>
        </w:tc>
        <w:tc>
          <w:tcPr>
            <w:tcW w:w="676" w:type="pct"/>
            <w:noWrap/>
            <w:vAlign w:val="center"/>
          </w:tcPr>
          <w:p>
            <w:pPr>
              <w:pStyle w:val="185"/>
              <w:spacing w:before="100"/>
              <w:rPr>
                <w:rFonts w:cs="Times New Roman"/>
                <w:color w:val="000000"/>
              </w:rPr>
            </w:pPr>
            <w:r>
              <w:rPr>
                <w:rFonts w:cs="Times New Roman"/>
                <w:color w:val="000000"/>
                <w:sz w:val="22"/>
                <w:szCs w:val="22"/>
              </w:rPr>
              <w:t>8</w:t>
            </w:r>
          </w:p>
        </w:tc>
        <w:tc>
          <w:tcPr>
            <w:tcW w:w="677" w:type="pct"/>
            <w:noWrap/>
            <w:vAlign w:val="center"/>
          </w:tcPr>
          <w:p>
            <w:pPr>
              <w:pStyle w:val="185"/>
              <w:spacing w:before="100"/>
              <w:rPr>
                <w:rFonts w:cs="Times New Roman"/>
                <w:color w:val="000000"/>
              </w:rPr>
            </w:pPr>
            <w:r>
              <w:rPr>
                <w:rFonts w:cs="Times New Roman"/>
                <w:color w:val="000000"/>
                <w:sz w:val="22"/>
                <w:szCs w:val="22"/>
              </w:rPr>
              <w:t>0.17%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满族</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7</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0.24%</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0.06%</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8</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0.17%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蒙古族</w:t>
            </w:r>
          </w:p>
        </w:tc>
        <w:tc>
          <w:tcPr>
            <w:tcW w:w="676" w:type="pct"/>
            <w:noWrap/>
            <w:vAlign w:val="center"/>
          </w:tcPr>
          <w:p>
            <w:pPr>
              <w:pStyle w:val="185"/>
              <w:spacing w:before="100"/>
              <w:rPr>
                <w:rFonts w:cs="Times New Roman"/>
                <w:color w:val="000000"/>
              </w:rPr>
            </w:pPr>
            <w:r>
              <w:rPr>
                <w:rFonts w:cs="Times New Roman"/>
                <w:color w:val="000000"/>
                <w:sz w:val="22"/>
                <w:szCs w:val="22"/>
              </w:rPr>
              <w:t>4</w:t>
            </w:r>
          </w:p>
        </w:tc>
        <w:tc>
          <w:tcPr>
            <w:tcW w:w="676" w:type="pct"/>
            <w:noWrap/>
            <w:vAlign w:val="center"/>
          </w:tcPr>
          <w:p>
            <w:pPr>
              <w:pStyle w:val="185"/>
              <w:spacing w:before="100"/>
              <w:rPr>
                <w:rFonts w:cs="Times New Roman"/>
                <w:color w:val="000000"/>
              </w:rPr>
            </w:pPr>
            <w:r>
              <w:rPr>
                <w:rFonts w:cs="Times New Roman"/>
                <w:color w:val="000000"/>
                <w:sz w:val="22"/>
                <w:szCs w:val="22"/>
              </w:rPr>
              <w:t>0.14%</w:t>
            </w:r>
          </w:p>
        </w:tc>
        <w:tc>
          <w:tcPr>
            <w:tcW w:w="676" w:type="pct"/>
            <w:noWrap/>
            <w:vAlign w:val="center"/>
          </w:tcPr>
          <w:p>
            <w:pPr>
              <w:pStyle w:val="185"/>
              <w:spacing w:before="100"/>
              <w:rPr>
                <w:rFonts w:cs="Times New Roman"/>
                <w:color w:val="000000"/>
              </w:rPr>
            </w:pPr>
            <w:r>
              <w:rPr>
                <w:rFonts w:cs="Times New Roman"/>
                <w:color w:val="000000"/>
                <w:sz w:val="22"/>
                <w:szCs w:val="22"/>
              </w:rPr>
              <w:t>3</w:t>
            </w:r>
          </w:p>
        </w:tc>
        <w:tc>
          <w:tcPr>
            <w:tcW w:w="676" w:type="pct"/>
            <w:noWrap/>
            <w:vAlign w:val="center"/>
          </w:tcPr>
          <w:p>
            <w:pPr>
              <w:pStyle w:val="185"/>
              <w:spacing w:before="100"/>
              <w:rPr>
                <w:rFonts w:cs="Times New Roman"/>
                <w:color w:val="000000"/>
              </w:rPr>
            </w:pPr>
            <w:r>
              <w:rPr>
                <w:rFonts w:cs="Times New Roman"/>
                <w:color w:val="000000"/>
                <w:sz w:val="22"/>
                <w:szCs w:val="22"/>
              </w:rPr>
              <w:t>0.17%</w:t>
            </w:r>
          </w:p>
        </w:tc>
        <w:tc>
          <w:tcPr>
            <w:tcW w:w="676" w:type="pct"/>
            <w:noWrap/>
            <w:vAlign w:val="center"/>
          </w:tcPr>
          <w:p>
            <w:pPr>
              <w:pStyle w:val="185"/>
              <w:spacing w:before="100"/>
              <w:rPr>
                <w:rFonts w:cs="Times New Roman"/>
                <w:color w:val="000000"/>
              </w:rPr>
            </w:pPr>
            <w:r>
              <w:rPr>
                <w:rFonts w:cs="Times New Roman"/>
                <w:color w:val="000000"/>
                <w:sz w:val="22"/>
                <w:szCs w:val="22"/>
              </w:rPr>
              <w:t>7</w:t>
            </w:r>
          </w:p>
        </w:tc>
        <w:tc>
          <w:tcPr>
            <w:tcW w:w="677" w:type="pct"/>
            <w:noWrap/>
            <w:vAlign w:val="center"/>
          </w:tcPr>
          <w:p>
            <w:pPr>
              <w:pStyle w:val="185"/>
              <w:spacing w:before="100"/>
              <w:rPr>
                <w:rFonts w:cs="Times New Roman"/>
                <w:color w:val="000000"/>
              </w:rPr>
            </w:pPr>
            <w:r>
              <w:rPr>
                <w:rFonts w:cs="Times New Roman"/>
                <w:color w:val="000000"/>
                <w:sz w:val="22"/>
                <w:szCs w:val="22"/>
              </w:rPr>
              <w:t>0.15%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黎族</w:t>
            </w:r>
          </w:p>
        </w:tc>
        <w:tc>
          <w:tcPr>
            <w:tcW w:w="676" w:type="pct"/>
            <w:shd w:val="clear" w:color="auto" w:fill="C7E2FA"/>
            <w:noWrap/>
            <w:vAlign w:val="center"/>
          </w:tcPr>
          <w:p>
            <w:pPr>
              <w:pStyle w:val="185"/>
              <w:spacing w:before="100"/>
              <w:rPr>
                <w:rFonts w:cs="Times New Roman"/>
                <w:color w:val="000000"/>
              </w:rPr>
            </w:pPr>
            <w:r>
              <w:rPr>
                <w:rFonts w:hint="eastAsia"/>
                <w:color w:val="000000"/>
              </w:rPr>
              <w:t>-</w:t>
            </w:r>
          </w:p>
        </w:tc>
        <w:tc>
          <w:tcPr>
            <w:tcW w:w="676" w:type="pct"/>
            <w:shd w:val="clear" w:color="auto" w:fill="C7E2FA"/>
            <w:noWrap/>
            <w:vAlign w:val="center"/>
          </w:tcPr>
          <w:p>
            <w:pPr>
              <w:pStyle w:val="185"/>
              <w:spacing w:before="100"/>
              <w:rPr>
                <w:rFonts w:cs="Times New Roman"/>
                <w:color w:val="000000"/>
              </w:rPr>
            </w:pPr>
            <w:r>
              <w:rPr>
                <w:rFonts w:hint="eastAsia"/>
                <w:color w:val="000000"/>
              </w:rPr>
              <w:t>-</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6</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0.34%</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6</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0.13%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畲族</w:t>
            </w:r>
          </w:p>
        </w:tc>
        <w:tc>
          <w:tcPr>
            <w:tcW w:w="676" w:type="pct"/>
            <w:noWrap/>
            <w:vAlign w:val="center"/>
          </w:tcPr>
          <w:p>
            <w:pPr>
              <w:pStyle w:val="185"/>
              <w:spacing w:before="100"/>
              <w:rPr>
                <w:rFonts w:cs="Times New Roman"/>
                <w:color w:val="000000"/>
              </w:rPr>
            </w:pPr>
            <w:r>
              <w:rPr>
                <w:rFonts w:hint="eastAsia"/>
                <w:color w:val="000000"/>
              </w:rPr>
              <w:t>-</w:t>
            </w:r>
          </w:p>
        </w:tc>
        <w:tc>
          <w:tcPr>
            <w:tcW w:w="676" w:type="pct"/>
            <w:noWrap/>
            <w:vAlign w:val="center"/>
          </w:tcPr>
          <w:p>
            <w:pPr>
              <w:pStyle w:val="185"/>
              <w:spacing w:before="100"/>
              <w:rPr>
                <w:rFonts w:cs="Times New Roman"/>
                <w:color w:val="000000"/>
              </w:rPr>
            </w:pPr>
            <w:r>
              <w:rPr>
                <w:rFonts w:hint="eastAsia"/>
                <w:color w:val="000000"/>
              </w:rPr>
              <w:t>-</w:t>
            </w:r>
          </w:p>
        </w:tc>
        <w:tc>
          <w:tcPr>
            <w:tcW w:w="676" w:type="pct"/>
            <w:noWrap/>
            <w:vAlign w:val="center"/>
          </w:tcPr>
          <w:p>
            <w:pPr>
              <w:pStyle w:val="185"/>
              <w:spacing w:before="100"/>
              <w:rPr>
                <w:rFonts w:cs="Times New Roman"/>
                <w:color w:val="000000"/>
              </w:rPr>
            </w:pPr>
            <w:r>
              <w:rPr>
                <w:rFonts w:cs="Times New Roman"/>
                <w:color w:val="000000"/>
                <w:sz w:val="22"/>
                <w:szCs w:val="22"/>
              </w:rPr>
              <w:t>2</w:t>
            </w:r>
          </w:p>
        </w:tc>
        <w:tc>
          <w:tcPr>
            <w:tcW w:w="676" w:type="pct"/>
            <w:noWrap/>
            <w:vAlign w:val="center"/>
          </w:tcPr>
          <w:p>
            <w:pPr>
              <w:pStyle w:val="185"/>
              <w:spacing w:before="100"/>
              <w:rPr>
                <w:rFonts w:cs="Times New Roman"/>
                <w:color w:val="000000"/>
              </w:rPr>
            </w:pPr>
            <w:r>
              <w:rPr>
                <w:rFonts w:cs="Times New Roman"/>
                <w:color w:val="000000"/>
                <w:sz w:val="22"/>
                <w:szCs w:val="22"/>
              </w:rPr>
              <w:t>0.11%</w:t>
            </w:r>
          </w:p>
        </w:tc>
        <w:tc>
          <w:tcPr>
            <w:tcW w:w="676" w:type="pct"/>
            <w:noWrap/>
            <w:vAlign w:val="center"/>
          </w:tcPr>
          <w:p>
            <w:pPr>
              <w:pStyle w:val="185"/>
              <w:spacing w:before="100"/>
              <w:rPr>
                <w:rFonts w:cs="Times New Roman"/>
                <w:color w:val="000000"/>
              </w:rPr>
            </w:pPr>
            <w:r>
              <w:rPr>
                <w:rFonts w:cs="Times New Roman"/>
                <w:color w:val="000000"/>
                <w:sz w:val="22"/>
                <w:szCs w:val="22"/>
              </w:rPr>
              <w:t>2</w:t>
            </w:r>
          </w:p>
        </w:tc>
        <w:tc>
          <w:tcPr>
            <w:tcW w:w="677" w:type="pct"/>
            <w:noWrap/>
            <w:vAlign w:val="center"/>
          </w:tcPr>
          <w:p>
            <w:pPr>
              <w:pStyle w:val="185"/>
              <w:spacing w:before="100"/>
              <w:rPr>
                <w:rFonts w:cs="Times New Roman"/>
                <w:color w:val="000000"/>
              </w:rPr>
            </w:pPr>
            <w:r>
              <w:rPr>
                <w:rFonts w:cs="Times New Roman"/>
                <w:color w:val="000000"/>
                <w:sz w:val="22"/>
                <w:szCs w:val="22"/>
              </w:rPr>
              <w:t>0.04%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rPr>
            </w:pPr>
            <w:r>
              <w:rPr>
                <w:rFonts w:cs="Times New Roman"/>
                <w:b w:val="0"/>
                <w:bCs w:val="0"/>
                <w:color w:val="000000"/>
                <w:sz w:val="22"/>
                <w:szCs w:val="22"/>
              </w:rPr>
              <w:t>仡佬族</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0.03%</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1</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0.06%</w:t>
            </w:r>
          </w:p>
        </w:tc>
        <w:tc>
          <w:tcPr>
            <w:tcW w:w="676" w:type="pct"/>
            <w:shd w:val="clear" w:color="auto" w:fill="C7E2FA"/>
            <w:noWrap/>
            <w:vAlign w:val="center"/>
          </w:tcPr>
          <w:p>
            <w:pPr>
              <w:pStyle w:val="185"/>
              <w:spacing w:before="100"/>
              <w:rPr>
                <w:rFonts w:cs="Times New Roman"/>
                <w:color w:val="000000"/>
              </w:rPr>
            </w:pPr>
            <w:r>
              <w:rPr>
                <w:rFonts w:cs="Times New Roman"/>
                <w:color w:val="000000"/>
                <w:sz w:val="22"/>
                <w:szCs w:val="22"/>
              </w:rPr>
              <w:t>2</w:t>
            </w:r>
          </w:p>
        </w:tc>
        <w:tc>
          <w:tcPr>
            <w:tcW w:w="677" w:type="pct"/>
            <w:shd w:val="clear" w:color="auto" w:fill="C7E2FA"/>
            <w:noWrap/>
            <w:vAlign w:val="center"/>
          </w:tcPr>
          <w:p>
            <w:pPr>
              <w:pStyle w:val="185"/>
              <w:spacing w:before="100"/>
              <w:rPr>
                <w:rFonts w:cs="Times New Roman"/>
                <w:color w:val="000000"/>
              </w:rPr>
            </w:pPr>
            <w:r>
              <w:rPr>
                <w:rFonts w:cs="Times New Roman"/>
                <w:color w:val="000000"/>
                <w:sz w:val="22"/>
                <w:szCs w:val="22"/>
              </w:rPr>
              <w:t>0.04%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rPr>
            </w:pPr>
            <w:r>
              <w:rPr>
                <w:rFonts w:cs="Times New Roman"/>
                <w:b w:val="0"/>
                <w:bCs w:val="0"/>
                <w:color w:val="000000"/>
                <w:sz w:val="22"/>
                <w:szCs w:val="22"/>
              </w:rPr>
              <w:t>东乡族</w:t>
            </w:r>
          </w:p>
        </w:tc>
        <w:tc>
          <w:tcPr>
            <w:tcW w:w="676" w:type="pct"/>
            <w:noWrap/>
            <w:vAlign w:val="center"/>
          </w:tcPr>
          <w:p>
            <w:pPr>
              <w:pStyle w:val="185"/>
              <w:spacing w:before="100"/>
              <w:rPr>
                <w:rFonts w:cs="Times New Roman"/>
                <w:color w:val="000000"/>
              </w:rPr>
            </w:pPr>
            <w:r>
              <w:rPr>
                <w:rFonts w:hint="eastAsia"/>
                <w:color w:val="000000"/>
              </w:rPr>
              <w:t>-</w:t>
            </w:r>
          </w:p>
        </w:tc>
        <w:tc>
          <w:tcPr>
            <w:tcW w:w="676" w:type="pct"/>
            <w:noWrap/>
            <w:vAlign w:val="center"/>
          </w:tcPr>
          <w:p>
            <w:pPr>
              <w:pStyle w:val="185"/>
              <w:spacing w:before="100"/>
              <w:rPr>
                <w:rFonts w:cs="Times New Roman"/>
                <w:color w:val="000000"/>
              </w:rPr>
            </w:pPr>
            <w:r>
              <w:rPr>
                <w:rFonts w:hint="eastAsia"/>
                <w:color w:val="000000"/>
              </w:rPr>
              <w:t>-</w:t>
            </w:r>
          </w:p>
        </w:tc>
        <w:tc>
          <w:tcPr>
            <w:tcW w:w="676" w:type="pct"/>
            <w:noWrap/>
            <w:vAlign w:val="center"/>
          </w:tcPr>
          <w:p>
            <w:pPr>
              <w:pStyle w:val="185"/>
              <w:spacing w:before="100"/>
              <w:rPr>
                <w:rFonts w:cs="Times New Roman"/>
                <w:color w:val="000000"/>
              </w:rPr>
            </w:pPr>
            <w:r>
              <w:rPr>
                <w:rFonts w:cs="Times New Roman"/>
                <w:color w:val="000000"/>
                <w:sz w:val="22"/>
                <w:szCs w:val="22"/>
              </w:rPr>
              <w:t>1</w:t>
            </w:r>
          </w:p>
        </w:tc>
        <w:tc>
          <w:tcPr>
            <w:tcW w:w="676" w:type="pct"/>
            <w:noWrap/>
            <w:vAlign w:val="center"/>
          </w:tcPr>
          <w:p>
            <w:pPr>
              <w:pStyle w:val="185"/>
              <w:spacing w:before="100"/>
              <w:rPr>
                <w:rFonts w:cs="Times New Roman"/>
                <w:color w:val="000000"/>
              </w:rPr>
            </w:pPr>
            <w:r>
              <w:rPr>
                <w:rFonts w:cs="Times New Roman"/>
                <w:color w:val="000000"/>
                <w:sz w:val="22"/>
                <w:szCs w:val="22"/>
              </w:rPr>
              <w:t>0.06%</w:t>
            </w:r>
          </w:p>
        </w:tc>
        <w:tc>
          <w:tcPr>
            <w:tcW w:w="676" w:type="pct"/>
            <w:noWrap/>
            <w:vAlign w:val="center"/>
          </w:tcPr>
          <w:p>
            <w:pPr>
              <w:pStyle w:val="185"/>
              <w:spacing w:before="100"/>
              <w:rPr>
                <w:rFonts w:cs="Times New Roman"/>
                <w:color w:val="000000"/>
              </w:rPr>
            </w:pPr>
            <w:r>
              <w:rPr>
                <w:rFonts w:cs="Times New Roman"/>
                <w:color w:val="000000"/>
                <w:sz w:val="22"/>
                <w:szCs w:val="22"/>
              </w:rPr>
              <w:t>1</w:t>
            </w:r>
          </w:p>
        </w:tc>
        <w:tc>
          <w:tcPr>
            <w:tcW w:w="677" w:type="pct"/>
            <w:noWrap/>
            <w:vAlign w:val="center"/>
          </w:tcPr>
          <w:p>
            <w:pPr>
              <w:pStyle w:val="185"/>
              <w:spacing w:before="100"/>
              <w:rPr>
                <w:rFonts w:cs="Times New Roman"/>
                <w:color w:val="000000"/>
              </w:rPr>
            </w:pPr>
            <w:r>
              <w:rPr>
                <w:rFonts w:cs="Times New Roman"/>
                <w:color w:val="000000"/>
                <w:sz w:val="22"/>
                <w:szCs w:val="22"/>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sz w:val="22"/>
                <w:szCs w:val="22"/>
              </w:rPr>
            </w:pPr>
            <w:r>
              <w:rPr>
                <w:rFonts w:cs="Times New Roman"/>
                <w:b w:val="0"/>
                <w:bCs w:val="0"/>
                <w:color w:val="000000"/>
                <w:sz w:val="22"/>
                <w:szCs w:val="22"/>
              </w:rPr>
              <w:t>傣族</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1</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0.03%</w:t>
            </w:r>
          </w:p>
        </w:tc>
        <w:tc>
          <w:tcPr>
            <w:tcW w:w="676" w:type="pct"/>
            <w:shd w:val="clear" w:color="auto" w:fill="C7E2FA"/>
            <w:noWrap/>
            <w:vAlign w:val="center"/>
          </w:tcPr>
          <w:p>
            <w:pPr>
              <w:pStyle w:val="185"/>
              <w:spacing w:before="100"/>
              <w:rPr>
                <w:rFonts w:cs="Times New Roman"/>
                <w:color w:val="000000"/>
                <w:sz w:val="22"/>
                <w:szCs w:val="22"/>
              </w:rPr>
            </w:pPr>
            <w:r>
              <w:rPr>
                <w:rFonts w:hint="eastAsia"/>
                <w:color w:val="000000"/>
              </w:rPr>
              <w:t>-</w:t>
            </w:r>
          </w:p>
        </w:tc>
        <w:tc>
          <w:tcPr>
            <w:tcW w:w="676" w:type="pct"/>
            <w:shd w:val="clear" w:color="auto" w:fill="C7E2FA"/>
            <w:noWrap/>
            <w:vAlign w:val="center"/>
          </w:tcPr>
          <w:p>
            <w:pPr>
              <w:pStyle w:val="185"/>
              <w:spacing w:before="100"/>
              <w:rPr>
                <w:rFonts w:cs="Times New Roman"/>
                <w:color w:val="000000"/>
                <w:sz w:val="22"/>
                <w:szCs w:val="22"/>
              </w:rPr>
            </w:pPr>
            <w:r>
              <w:rPr>
                <w:rFonts w:hint="eastAsia"/>
                <w:color w:val="000000"/>
              </w:rPr>
              <w:t>-</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1</w:t>
            </w:r>
          </w:p>
        </w:tc>
        <w:tc>
          <w:tcPr>
            <w:tcW w:w="677"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sz w:val="22"/>
                <w:szCs w:val="22"/>
              </w:rPr>
            </w:pPr>
            <w:r>
              <w:rPr>
                <w:rFonts w:cs="Times New Roman"/>
                <w:b w:val="0"/>
                <w:bCs w:val="0"/>
                <w:color w:val="000000"/>
                <w:sz w:val="22"/>
                <w:szCs w:val="22"/>
              </w:rPr>
              <w:t>其它</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1</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0.03%</w:t>
            </w:r>
          </w:p>
        </w:tc>
        <w:tc>
          <w:tcPr>
            <w:tcW w:w="676" w:type="pct"/>
            <w:noWrap/>
            <w:vAlign w:val="center"/>
          </w:tcPr>
          <w:p>
            <w:pPr>
              <w:pStyle w:val="185"/>
              <w:spacing w:before="100"/>
              <w:rPr>
                <w:rFonts w:cs="Times New Roman"/>
                <w:color w:val="000000"/>
                <w:sz w:val="22"/>
                <w:szCs w:val="22"/>
              </w:rPr>
            </w:pPr>
            <w:r>
              <w:rPr>
                <w:rFonts w:hint="eastAsia"/>
                <w:color w:val="000000"/>
              </w:rPr>
              <w:t>-</w:t>
            </w:r>
          </w:p>
        </w:tc>
        <w:tc>
          <w:tcPr>
            <w:tcW w:w="676" w:type="pct"/>
            <w:noWrap/>
            <w:vAlign w:val="center"/>
          </w:tcPr>
          <w:p>
            <w:pPr>
              <w:pStyle w:val="185"/>
              <w:spacing w:before="100"/>
              <w:rPr>
                <w:rFonts w:cs="Times New Roman"/>
                <w:color w:val="000000"/>
                <w:sz w:val="22"/>
                <w:szCs w:val="22"/>
              </w:rPr>
            </w:pPr>
            <w:r>
              <w:rPr>
                <w:rFonts w:hint="eastAsia"/>
                <w:color w:val="000000"/>
              </w:rPr>
              <w:t>-</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1</w:t>
            </w:r>
          </w:p>
        </w:tc>
        <w:tc>
          <w:tcPr>
            <w:tcW w:w="677" w:type="pct"/>
            <w:noWrap/>
            <w:vAlign w:val="center"/>
          </w:tcPr>
          <w:p>
            <w:pPr>
              <w:pStyle w:val="185"/>
              <w:spacing w:before="100"/>
              <w:rPr>
                <w:rFonts w:cs="Times New Roman"/>
                <w:color w:val="000000"/>
                <w:sz w:val="22"/>
                <w:szCs w:val="22"/>
              </w:rPr>
            </w:pPr>
            <w:r>
              <w:rPr>
                <w:rFonts w:cs="Times New Roman"/>
                <w:color w:val="000000"/>
                <w:sz w:val="22"/>
                <w:szCs w:val="22"/>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sz w:val="22"/>
                <w:szCs w:val="22"/>
              </w:rPr>
            </w:pPr>
            <w:r>
              <w:rPr>
                <w:rFonts w:cs="Times New Roman"/>
                <w:b w:val="0"/>
                <w:bCs w:val="0"/>
                <w:color w:val="000000"/>
                <w:sz w:val="22"/>
                <w:szCs w:val="22"/>
              </w:rPr>
              <w:t>水族</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1</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0.03%</w:t>
            </w:r>
          </w:p>
        </w:tc>
        <w:tc>
          <w:tcPr>
            <w:tcW w:w="676" w:type="pct"/>
            <w:shd w:val="clear" w:color="auto" w:fill="C7E2FA"/>
            <w:noWrap/>
            <w:vAlign w:val="center"/>
          </w:tcPr>
          <w:p>
            <w:pPr>
              <w:pStyle w:val="185"/>
              <w:spacing w:before="100"/>
              <w:rPr>
                <w:rFonts w:cs="Times New Roman"/>
                <w:color w:val="000000"/>
                <w:sz w:val="22"/>
                <w:szCs w:val="22"/>
              </w:rPr>
            </w:pPr>
            <w:r>
              <w:rPr>
                <w:rFonts w:hint="eastAsia"/>
                <w:color w:val="000000"/>
              </w:rPr>
              <w:t>-</w:t>
            </w:r>
          </w:p>
        </w:tc>
        <w:tc>
          <w:tcPr>
            <w:tcW w:w="676" w:type="pct"/>
            <w:shd w:val="clear" w:color="auto" w:fill="C7E2FA"/>
            <w:noWrap/>
            <w:vAlign w:val="center"/>
          </w:tcPr>
          <w:p>
            <w:pPr>
              <w:pStyle w:val="185"/>
              <w:spacing w:before="100"/>
              <w:rPr>
                <w:rFonts w:cs="Times New Roman"/>
                <w:color w:val="000000"/>
                <w:sz w:val="22"/>
                <w:szCs w:val="22"/>
              </w:rPr>
            </w:pPr>
            <w:r>
              <w:rPr>
                <w:rFonts w:hint="eastAsia"/>
                <w:color w:val="000000"/>
              </w:rPr>
              <w:t>-</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1</w:t>
            </w:r>
          </w:p>
        </w:tc>
        <w:tc>
          <w:tcPr>
            <w:tcW w:w="677"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sz w:val="22"/>
                <w:szCs w:val="22"/>
              </w:rPr>
            </w:pPr>
            <w:r>
              <w:rPr>
                <w:rFonts w:cs="Times New Roman"/>
                <w:b w:val="0"/>
                <w:bCs w:val="0"/>
                <w:color w:val="000000"/>
                <w:sz w:val="22"/>
                <w:szCs w:val="22"/>
              </w:rPr>
              <w:t>瑶族</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1</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0.03%</w:t>
            </w:r>
          </w:p>
        </w:tc>
        <w:tc>
          <w:tcPr>
            <w:tcW w:w="676" w:type="pct"/>
            <w:noWrap/>
            <w:vAlign w:val="center"/>
          </w:tcPr>
          <w:p>
            <w:pPr>
              <w:pStyle w:val="185"/>
              <w:spacing w:before="100"/>
              <w:rPr>
                <w:rFonts w:cs="Times New Roman"/>
                <w:color w:val="000000"/>
                <w:sz w:val="22"/>
                <w:szCs w:val="22"/>
              </w:rPr>
            </w:pPr>
            <w:r>
              <w:rPr>
                <w:rFonts w:hint="eastAsia"/>
                <w:color w:val="000000"/>
              </w:rPr>
              <w:t>-</w:t>
            </w:r>
          </w:p>
        </w:tc>
        <w:tc>
          <w:tcPr>
            <w:tcW w:w="676" w:type="pct"/>
            <w:noWrap/>
            <w:vAlign w:val="center"/>
          </w:tcPr>
          <w:p>
            <w:pPr>
              <w:pStyle w:val="185"/>
              <w:spacing w:before="100"/>
              <w:rPr>
                <w:rFonts w:cs="Times New Roman"/>
                <w:color w:val="000000"/>
                <w:sz w:val="22"/>
                <w:szCs w:val="22"/>
              </w:rPr>
            </w:pPr>
            <w:r>
              <w:rPr>
                <w:rFonts w:hint="eastAsia"/>
                <w:color w:val="000000"/>
              </w:rPr>
              <w:t>-</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1</w:t>
            </w:r>
          </w:p>
        </w:tc>
        <w:tc>
          <w:tcPr>
            <w:tcW w:w="677" w:type="pct"/>
            <w:noWrap/>
            <w:vAlign w:val="center"/>
          </w:tcPr>
          <w:p>
            <w:pPr>
              <w:pStyle w:val="185"/>
              <w:spacing w:before="100"/>
              <w:rPr>
                <w:rFonts w:cs="Times New Roman"/>
                <w:color w:val="000000"/>
                <w:sz w:val="22"/>
                <w:szCs w:val="22"/>
              </w:rPr>
            </w:pPr>
            <w:r>
              <w:rPr>
                <w:rFonts w:cs="Times New Roman"/>
                <w:color w:val="000000"/>
                <w:sz w:val="22"/>
                <w:szCs w:val="22"/>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shd w:val="clear" w:color="auto" w:fill="C7E2FA"/>
            <w:noWrap/>
            <w:vAlign w:val="center"/>
          </w:tcPr>
          <w:p>
            <w:pPr>
              <w:pStyle w:val="185"/>
              <w:spacing w:before="100"/>
              <w:rPr>
                <w:rFonts w:cs="Times New Roman"/>
                <w:b w:val="0"/>
                <w:bCs w:val="0"/>
                <w:color w:val="000000"/>
                <w:sz w:val="22"/>
                <w:szCs w:val="22"/>
              </w:rPr>
            </w:pPr>
            <w:r>
              <w:rPr>
                <w:rFonts w:cs="Times New Roman"/>
                <w:b w:val="0"/>
                <w:bCs w:val="0"/>
                <w:color w:val="000000"/>
                <w:sz w:val="22"/>
                <w:szCs w:val="22"/>
              </w:rPr>
              <w:t>白族</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1</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0.03%</w:t>
            </w:r>
          </w:p>
        </w:tc>
        <w:tc>
          <w:tcPr>
            <w:tcW w:w="676" w:type="pct"/>
            <w:shd w:val="clear" w:color="auto" w:fill="C7E2FA"/>
            <w:noWrap/>
            <w:vAlign w:val="center"/>
          </w:tcPr>
          <w:p>
            <w:pPr>
              <w:pStyle w:val="185"/>
              <w:spacing w:before="100"/>
              <w:rPr>
                <w:rFonts w:cs="Times New Roman"/>
                <w:color w:val="000000"/>
                <w:sz w:val="22"/>
                <w:szCs w:val="22"/>
              </w:rPr>
            </w:pPr>
            <w:r>
              <w:rPr>
                <w:rFonts w:hint="eastAsia"/>
                <w:color w:val="000000"/>
              </w:rPr>
              <w:t>-</w:t>
            </w:r>
          </w:p>
        </w:tc>
        <w:tc>
          <w:tcPr>
            <w:tcW w:w="676" w:type="pct"/>
            <w:shd w:val="clear" w:color="auto" w:fill="C7E2FA"/>
            <w:noWrap/>
            <w:vAlign w:val="center"/>
          </w:tcPr>
          <w:p>
            <w:pPr>
              <w:pStyle w:val="185"/>
              <w:spacing w:before="100"/>
              <w:rPr>
                <w:rFonts w:cs="Times New Roman"/>
                <w:color w:val="000000"/>
                <w:sz w:val="22"/>
                <w:szCs w:val="22"/>
              </w:rPr>
            </w:pPr>
            <w:r>
              <w:rPr>
                <w:rFonts w:hint="eastAsia"/>
                <w:color w:val="000000"/>
              </w:rPr>
              <w:t>-</w:t>
            </w:r>
          </w:p>
        </w:tc>
        <w:tc>
          <w:tcPr>
            <w:tcW w:w="676"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1</w:t>
            </w:r>
          </w:p>
        </w:tc>
        <w:tc>
          <w:tcPr>
            <w:tcW w:w="677" w:type="pct"/>
            <w:shd w:val="clear" w:color="auto" w:fill="C7E2FA"/>
            <w:noWrap/>
            <w:vAlign w:val="center"/>
          </w:tcPr>
          <w:p>
            <w:pPr>
              <w:pStyle w:val="185"/>
              <w:spacing w:before="100"/>
              <w:rPr>
                <w:rFonts w:cs="Times New Roman"/>
                <w:color w:val="000000"/>
                <w:sz w:val="22"/>
                <w:szCs w:val="22"/>
              </w:rPr>
            </w:pPr>
            <w:r>
              <w:rPr>
                <w:rFonts w:cs="Times New Roman"/>
                <w:color w:val="000000"/>
                <w:sz w:val="22"/>
                <w:szCs w:val="22"/>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943" w:type="pct"/>
            <w:noWrap/>
            <w:vAlign w:val="center"/>
          </w:tcPr>
          <w:p>
            <w:pPr>
              <w:pStyle w:val="185"/>
              <w:spacing w:before="100"/>
              <w:rPr>
                <w:rFonts w:cs="Times New Roman"/>
                <w:b w:val="0"/>
                <w:bCs w:val="0"/>
                <w:color w:val="000000"/>
                <w:sz w:val="22"/>
                <w:szCs w:val="22"/>
              </w:rPr>
            </w:pPr>
            <w:r>
              <w:rPr>
                <w:rFonts w:cs="Times New Roman"/>
                <w:b w:val="0"/>
                <w:bCs w:val="0"/>
                <w:color w:val="000000"/>
                <w:sz w:val="22"/>
                <w:szCs w:val="22"/>
              </w:rPr>
              <w:t>达斡尔族</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1</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0.03%</w:t>
            </w:r>
          </w:p>
        </w:tc>
        <w:tc>
          <w:tcPr>
            <w:tcW w:w="676" w:type="pct"/>
            <w:noWrap/>
            <w:vAlign w:val="center"/>
          </w:tcPr>
          <w:p>
            <w:pPr>
              <w:pStyle w:val="185"/>
              <w:spacing w:before="100"/>
              <w:rPr>
                <w:rFonts w:cs="Times New Roman"/>
                <w:color w:val="000000"/>
                <w:sz w:val="22"/>
                <w:szCs w:val="22"/>
              </w:rPr>
            </w:pPr>
            <w:r>
              <w:rPr>
                <w:rFonts w:hint="eastAsia"/>
                <w:color w:val="000000"/>
              </w:rPr>
              <w:t>-</w:t>
            </w:r>
          </w:p>
        </w:tc>
        <w:tc>
          <w:tcPr>
            <w:tcW w:w="676" w:type="pct"/>
            <w:noWrap/>
            <w:vAlign w:val="center"/>
          </w:tcPr>
          <w:p>
            <w:pPr>
              <w:pStyle w:val="185"/>
              <w:spacing w:before="100"/>
              <w:rPr>
                <w:rFonts w:cs="Times New Roman"/>
                <w:color w:val="000000"/>
                <w:sz w:val="22"/>
                <w:szCs w:val="22"/>
              </w:rPr>
            </w:pPr>
            <w:r>
              <w:rPr>
                <w:rFonts w:hint="eastAsia"/>
                <w:color w:val="000000"/>
              </w:rPr>
              <w:t>-</w:t>
            </w:r>
          </w:p>
        </w:tc>
        <w:tc>
          <w:tcPr>
            <w:tcW w:w="676" w:type="pct"/>
            <w:noWrap/>
            <w:vAlign w:val="center"/>
          </w:tcPr>
          <w:p>
            <w:pPr>
              <w:pStyle w:val="185"/>
              <w:spacing w:before="100"/>
              <w:rPr>
                <w:rFonts w:cs="Times New Roman"/>
                <w:color w:val="000000"/>
                <w:sz w:val="22"/>
                <w:szCs w:val="22"/>
              </w:rPr>
            </w:pPr>
            <w:r>
              <w:rPr>
                <w:rFonts w:cs="Times New Roman"/>
                <w:color w:val="000000"/>
                <w:sz w:val="22"/>
                <w:szCs w:val="22"/>
              </w:rPr>
              <w:t>1</w:t>
            </w:r>
          </w:p>
        </w:tc>
        <w:tc>
          <w:tcPr>
            <w:tcW w:w="677" w:type="pct"/>
            <w:noWrap/>
            <w:vAlign w:val="center"/>
          </w:tcPr>
          <w:p>
            <w:pPr>
              <w:pStyle w:val="185"/>
              <w:spacing w:before="100"/>
              <w:rPr>
                <w:rFonts w:cs="Times New Roman"/>
                <w:color w:val="000000"/>
                <w:sz w:val="22"/>
                <w:szCs w:val="22"/>
              </w:rPr>
            </w:pPr>
            <w:r>
              <w:rPr>
                <w:rFonts w:cs="Times New Roman"/>
                <w:color w:val="000000"/>
                <w:sz w:val="22"/>
                <w:szCs w:val="22"/>
              </w:rPr>
              <w:t>0.02%</w:t>
            </w:r>
          </w:p>
        </w:tc>
      </w:tr>
    </w:tbl>
    <w:p>
      <w:pPr>
        <w:pStyle w:val="176"/>
        <w:ind w:firstLine="360" w:firstLineChars="200"/>
        <w:rPr>
          <w:color w:val="0070C0"/>
        </w:rPr>
      </w:pPr>
      <w:r>
        <w:rPr>
          <w:rFonts w:hint="eastAsia"/>
          <w:color w:val="0070C0"/>
        </w:rPr>
        <w:t>数据来源：湖北省高校毕业生就业办公系统。</w:t>
      </w:r>
    </w:p>
    <w:p>
      <w:pPr>
        <w:pStyle w:val="151"/>
        <w:rPr>
          <w:color w:val="0F6FC6" w:themeColor="accent5"/>
          <w14:textFill>
            <w14:solidFill>
              <w14:schemeClr w14:val="accent5"/>
            </w14:solidFill>
          </w14:textFill>
        </w:rPr>
      </w:pPr>
      <w:bookmarkStart w:id="53" w:name="_Toc92706710"/>
      <w:r>
        <w:rPr>
          <w:rFonts w:hint="eastAsia"/>
          <w:color w:val="0F6FC6" w:themeColor="accent5"/>
          <w14:textFill>
            <w14:solidFill>
              <w14:schemeClr w14:val="accent5"/>
            </w14:solidFill>
          </w14:textFill>
        </w:rPr>
        <w:t>（五</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生源</w:t>
      </w:r>
      <w:r>
        <w:rPr>
          <w:color w:val="0F6FC6" w:themeColor="accent5"/>
          <w14:textFill>
            <w14:solidFill>
              <w14:schemeClr w14:val="accent5"/>
            </w14:solidFill>
          </w14:textFill>
        </w:rPr>
        <w:t>结构</w:t>
      </w:r>
      <w:bookmarkEnd w:id="46"/>
      <w:bookmarkEnd w:id="47"/>
      <w:bookmarkEnd w:id="53"/>
    </w:p>
    <w:p>
      <w:pPr>
        <w:pStyle w:val="178"/>
        <w:spacing w:before="156"/>
        <w:ind w:firstLine="480"/>
      </w:pPr>
      <w:r>
        <w:t>学校2021届毕业生来自全国</w:t>
      </w:r>
      <w:r>
        <w:rPr>
          <w:rFonts w:hint="eastAsia"/>
        </w:rPr>
        <w:t>28</w:t>
      </w:r>
      <w:r>
        <w:t>个</w:t>
      </w:r>
      <w:r>
        <w:rPr>
          <w:rFonts w:hint="eastAsia" w:asciiTheme="minorEastAsia" w:hAnsiTheme="minorEastAsia" w:eastAsiaTheme="minorEastAsia"/>
        </w:rPr>
        <w:t>省</w:t>
      </w:r>
      <w:r>
        <w:t>（</w:t>
      </w:r>
      <w:r>
        <w:rPr>
          <w:rFonts w:hint="eastAsia"/>
        </w:rPr>
        <w:t>直辖</w:t>
      </w:r>
      <w:r>
        <w:rPr>
          <w:rFonts w:hint="eastAsia" w:asciiTheme="minorEastAsia" w:hAnsiTheme="minorEastAsia" w:eastAsiaTheme="minorEastAsia"/>
        </w:rPr>
        <w:t>市</w:t>
      </w:r>
      <w:r>
        <w:rPr>
          <w:rFonts w:asciiTheme="minorEastAsia" w:hAnsiTheme="minorEastAsia" w:eastAsiaTheme="minorEastAsia"/>
        </w:rPr>
        <w:t>/</w:t>
      </w:r>
      <w:r>
        <w:rPr>
          <w:rFonts w:hint="eastAsia" w:asciiTheme="minorEastAsia" w:hAnsiTheme="minorEastAsia" w:eastAsiaTheme="minorEastAsia"/>
        </w:rPr>
        <w:t>自治区</w:t>
      </w:r>
      <w:r>
        <w:t>）</w:t>
      </w:r>
      <w:r>
        <w:rPr>
          <w:rFonts w:hint="eastAsia" w:asciiTheme="minorEastAsia" w:hAnsiTheme="minorEastAsia" w:eastAsiaTheme="minorEastAsia"/>
        </w:rPr>
        <w:t>。以</w:t>
      </w:r>
      <w:r>
        <w:rPr>
          <w:rFonts w:hint="eastAsia"/>
        </w:rPr>
        <w:t>省内</w:t>
      </w:r>
      <w:r>
        <w:t>生源为主，所占比例为</w:t>
      </w:r>
      <w:r>
        <w:rPr>
          <w:rFonts w:hint="eastAsia"/>
        </w:rPr>
        <w:t>59.19%</w:t>
      </w:r>
      <w:r>
        <w:t>；省外生源主要来自</w:t>
      </w:r>
      <w:r>
        <w:rPr>
          <w:rFonts w:hint="eastAsia"/>
        </w:rPr>
        <w:t>四川省（4.39%）、河南省（4.32%）、贵州省（4.20%）</w:t>
      </w:r>
      <w:r>
        <w:t>。</w:t>
      </w:r>
    </w:p>
    <w:p>
      <w:pPr>
        <w:pStyle w:val="218"/>
        <w:spacing w:before="156" w:after="156"/>
        <w:rPr>
          <w:bCs/>
        </w:rPr>
      </w:pPr>
      <w:bookmarkStart w:id="54" w:name="_Toc521676285"/>
      <w:bookmarkStart w:id="55" w:name="_Toc521678788"/>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6</w:t>
      </w:r>
      <w:r>
        <w:fldChar w:fldCharType="end"/>
      </w:r>
      <w:r>
        <w:rPr>
          <w:bCs/>
        </w:rPr>
        <w:t xml:space="preserve">  </w:t>
      </w:r>
      <w:r>
        <w:rPr>
          <w:rFonts w:eastAsia="宋体"/>
          <w:bCs/>
        </w:rPr>
        <w:t>2021</w:t>
      </w:r>
      <w:r>
        <w:rPr>
          <w:bCs/>
        </w:rPr>
        <w:t>届</w:t>
      </w:r>
      <w:r>
        <w:rPr>
          <w:rFonts w:hint="eastAsia"/>
          <w:bCs/>
        </w:rPr>
        <w:t>毕业生生源地结构</w:t>
      </w:r>
      <w:bookmarkEnd w:id="54"/>
      <w:bookmarkEnd w:id="55"/>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544"/>
        <w:gridCol w:w="853"/>
        <w:gridCol w:w="1300"/>
        <w:gridCol w:w="853"/>
        <w:gridCol w:w="1300"/>
        <w:gridCol w:w="853"/>
        <w:gridCol w:w="130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vMerge w:val="restart"/>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生源地</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本科毕业生</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专科毕业生</w:t>
            </w:r>
          </w:p>
        </w:tc>
        <w:tc>
          <w:tcPr>
            <w:tcW w:w="0" w:type="auto"/>
            <w:gridSpan w:val="2"/>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Merge w:val="continue"/>
            <w:shd w:val="clear" w:color="auto" w:fill="C7E2FA"/>
            <w:vAlign w:val="center"/>
          </w:tcPr>
          <w:p>
            <w:pPr>
              <w:spacing w:before="0"/>
              <w:jc w:val="center"/>
              <w:rPr>
                <w:rFonts w:ascii="Times New Roman" w:hAnsi="Times New Roman" w:cs="Times New Roman"/>
                <w:b w:val="0"/>
                <w:bCs/>
                <w:sz w:val="21"/>
                <w:szCs w:val="21"/>
              </w:rPr>
            </w:pP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人数</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占比</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人数</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占比</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人数</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湖北省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1728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59.83%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1023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58.13%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2751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59.19%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四川省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82</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2.84%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122</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6.93%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204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4.39%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河南省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124</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4.29%</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77</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4.38%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201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4.32%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贵州省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149</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5.16%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2.61%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195</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甘肃省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89</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3.08%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63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3.58%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152</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3.27%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山西省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94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3.25%</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1.31%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117</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安徽省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63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2.18%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2.33%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104</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江西省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48</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1.66%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55</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3.12%</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103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2.22%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重庆市</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1.59%</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44</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2.50%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90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浙江省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66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2.29%</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1.36%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90</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新疆维吾尔自治区</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56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1.94%</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1.76%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87</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1.87%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广西壮族自治区</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57</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1.97%</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27</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1.53%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84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1.81%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福建省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1.66%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1.76%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79</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湖南省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44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1.52%</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1.93%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78</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1.68%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宁夏回族自治区</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9</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0.31%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37</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2.10%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河北省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15</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0.52%</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29</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1.65%</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山东省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27</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0.93%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15</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0.85%</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42</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广东省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1.07%</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31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云南省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1.04%</w:t>
            </w:r>
          </w:p>
        </w:tc>
        <w:tc>
          <w:tcPr>
            <w:tcW w:w="0" w:type="auto"/>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30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0.65%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海南省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9</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0.31%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19</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1.08%</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28</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0.60%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陕西省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0.55%</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12</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0.68%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0.60%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江苏省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0.83%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0.11%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26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内蒙古自治区</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14</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0.48%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0.17%</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17</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西藏自治区</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0.48%</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14</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0.30%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辽宁省</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3</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0.10%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0.06%</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吉林省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0.06%</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天津市</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0.03%</w:t>
            </w:r>
          </w:p>
        </w:tc>
        <w:tc>
          <w:tcPr>
            <w:tcW w:w="0" w:type="auto"/>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 w:val="21"/>
                <w:szCs w:val="21"/>
              </w:rPr>
            </w:pPr>
            <w:r>
              <w:rPr>
                <w:rFonts w:ascii="Times New Roman" w:hAnsi="Times New Roman" w:cs="Times New Roman"/>
                <w:b w:val="0"/>
                <w:bCs/>
                <w:color w:val="000000"/>
                <w:sz w:val="21"/>
                <w:szCs w:val="21"/>
              </w:rPr>
              <w:t>青海省</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0.03%</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hint="eastAsia"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w:t>
            </w:r>
          </w:p>
        </w:tc>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总计</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2888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100.00%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color w:val="000000"/>
                <w:sz w:val="21"/>
                <w:szCs w:val="21"/>
              </w:rPr>
              <w:t>1760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100.00%</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4648</w:t>
            </w:r>
          </w:p>
        </w:tc>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sz w:val="21"/>
                <w:szCs w:val="21"/>
              </w:rPr>
              <w:t>100.00%</w:t>
            </w:r>
          </w:p>
        </w:tc>
      </w:tr>
    </w:tbl>
    <w:p>
      <w:pPr>
        <w:pStyle w:val="118"/>
        <w:ind w:firstLine="360"/>
        <w:rPr>
          <w:color w:val="0070C0"/>
        </w:rPr>
      </w:pPr>
      <w:r>
        <w:rPr>
          <w:rFonts w:hint="eastAsia"/>
          <w:color w:val="0070C0"/>
        </w:rPr>
        <w:t>数据来源：湖北省高校毕业生就业办公系统。</w:t>
      </w:r>
    </w:p>
    <w:p>
      <w:pPr>
        <w:pStyle w:val="218"/>
        <w:spacing w:before="156" w:after="156"/>
        <w:rPr>
          <w:bCs/>
        </w:rPr>
      </w:pPr>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7</w:t>
      </w:r>
      <w:r>
        <w:fldChar w:fldCharType="end"/>
      </w:r>
      <w:r>
        <w:rPr>
          <w:bCs/>
        </w:rPr>
        <w:t xml:space="preserve">  </w:t>
      </w:r>
      <w:r>
        <w:rPr>
          <w:rFonts w:eastAsia="宋体"/>
          <w:bCs/>
        </w:rPr>
        <w:t>2021</w:t>
      </w:r>
      <w:r>
        <w:rPr>
          <w:bCs/>
        </w:rPr>
        <w:t>届</w:t>
      </w:r>
      <w:r>
        <w:rPr>
          <w:rFonts w:hint="eastAsia"/>
          <w:bCs/>
        </w:rPr>
        <w:t>毕业生湖北省生源结构</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025"/>
        <w:gridCol w:w="872"/>
        <w:gridCol w:w="1121"/>
        <w:gridCol w:w="872"/>
        <w:gridCol w:w="1121"/>
        <w:gridCol w:w="872"/>
        <w:gridCol w:w="112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vMerge w:val="restart"/>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湖北省生源</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本科毕业生</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专科毕业生</w:t>
            </w:r>
          </w:p>
        </w:tc>
        <w:tc>
          <w:tcPr>
            <w:tcW w:w="0" w:type="auto"/>
            <w:gridSpan w:val="2"/>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Merge w:val="continue"/>
            <w:shd w:val="clear" w:color="auto" w:fill="C7E2FA"/>
            <w:vAlign w:val="center"/>
          </w:tcPr>
          <w:p>
            <w:pPr>
              <w:spacing w:before="0"/>
              <w:jc w:val="center"/>
              <w:rPr>
                <w:rFonts w:ascii="Times New Roman" w:hAnsi="Times New Roman" w:cs="Times New Roman"/>
                <w:b w:val="0"/>
                <w:bCs/>
                <w:szCs w:val="21"/>
              </w:rPr>
            </w:pPr>
          </w:p>
        </w:tc>
        <w:tc>
          <w:tcPr>
            <w:tcW w:w="0" w:type="auto"/>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szCs w:val="21"/>
              </w:rPr>
              <w:t>人数</w:t>
            </w:r>
          </w:p>
        </w:tc>
        <w:tc>
          <w:tcPr>
            <w:tcW w:w="0" w:type="auto"/>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szCs w:val="21"/>
              </w:rPr>
              <w:t>占比</w:t>
            </w:r>
          </w:p>
        </w:tc>
        <w:tc>
          <w:tcPr>
            <w:tcW w:w="0" w:type="auto"/>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szCs w:val="21"/>
              </w:rPr>
              <w:t>人数</w:t>
            </w:r>
          </w:p>
        </w:tc>
        <w:tc>
          <w:tcPr>
            <w:tcW w:w="0" w:type="auto"/>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szCs w:val="21"/>
              </w:rPr>
              <w:t>占比</w:t>
            </w:r>
          </w:p>
        </w:tc>
        <w:tc>
          <w:tcPr>
            <w:tcW w:w="0" w:type="auto"/>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szCs w:val="21"/>
              </w:rPr>
              <w:t>人数</w:t>
            </w:r>
          </w:p>
        </w:tc>
        <w:tc>
          <w:tcPr>
            <w:tcW w:w="0" w:type="auto"/>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荆门市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260</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15.05%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313</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30.60%</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573</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20.83%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黄冈市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241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13.95%</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86</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8.41%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327</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11.89%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孝感市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166</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9.61%</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70</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6.84%</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236</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十堰市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143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8.28%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66</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6.45%</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209</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7.60%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襄阳市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124</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7.18%</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77</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7.53%</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201</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7.31%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武汉市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169</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9.78%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3.03%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200</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宜昌市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115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6.66%</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70</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6.84%</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185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6.72%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恩施土家族苗族自治州</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99</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5.73%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8.11%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182</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咸宁市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82</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4.75%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6.35%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147</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5.34%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荆州市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86</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4.98%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36</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3.52%</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122</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4.43%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随州市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59</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3.41%</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37</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3.62%</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96</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3.49%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黄石市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40</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2.31%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2.74%</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68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2.47%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仙桃市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38</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2.20%</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13</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1.27%</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51</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天门市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1.91%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17</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1.66%</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50</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1.82%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鄂州市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1.45%</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12</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1.17%</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37</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监利市</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25</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1.45%</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0.78%</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潜江市</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20</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1.16%</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9</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0.88%</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29</w:t>
            </w:r>
          </w:p>
        </w:tc>
        <w:tc>
          <w:tcPr>
            <w:tcW w:w="0" w:type="auto"/>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1.05%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神农架林区</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3</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0.17%</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2</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color w:val="000000"/>
                <w:sz w:val="22"/>
                <w:szCs w:val="22"/>
              </w:rPr>
              <w:t>0.20%</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szCs w:val="21"/>
              </w:rPr>
              <w:t>31</w:t>
            </w:r>
          </w:p>
        </w:tc>
        <w:tc>
          <w:tcPr>
            <w:tcW w:w="0" w:type="auto"/>
            <w:shd w:val="clear" w:color="auto" w:fill="C7E2FA"/>
            <w:vAlign w:val="center"/>
          </w:tcPr>
          <w:p>
            <w:pPr>
              <w:spacing w:before="0"/>
              <w:jc w:val="center"/>
              <w:rPr>
                <w:rFonts w:ascii="Times New Roman" w:hAnsi="Times New Roman" w:cs="Times New Roman"/>
                <w:b/>
                <w:bCs/>
                <w:szCs w:val="21"/>
              </w:rPr>
            </w:pPr>
            <w:r>
              <w:rPr>
                <w:rFonts w:ascii="Times New Roman" w:hAnsi="Times New Roman" w:cs="Times New Roman"/>
                <w:szCs w:val="21"/>
              </w:rPr>
              <w:t>0.67%</w:t>
            </w:r>
          </w:p>
        </w:tc>
      </w:tr>
    </w:tbl>
    <w:p>
      <w:pPr>
        <w:pStyle w:val="118"/>
        <w:ind w:firstLine="360"/>
        <w:rPr>
          <w:color w:val="0070C0"/>
        </w:rPr>
      </w:pPr>
      <w:r>
        <w:rPr>
          <w:rFonts w:hint="eastAsia"/>
          <w:color w:val="0070C0"/>
        </w:rPr>
        <w:t>数据来源：湖北省高校毕业生就业办公系统。</w:t>
      </w:r>
    </w:p>
    <w:p>
      <w:pPr>
        <w:pStyle w:val="141"/>
        <w:rPr>
          <w:color w:val="0F6FC6" w:themeColor="accent5"/>
          <w14:textFill>
            <w14:solidFill>
              <w14:schemeClr w14:val="accent5"/>
            </w14:solidFill>
          </w14:textFill>
        </w:rPr>
      </w:pPr>
      <w:bookmarkStart w:id="56" w:name="_Toc92706711"/>
      <w:bookmarkStart w:id="57" w:name="_Toc82010487"/>
      <w:r>
        <w:rPr>
          <w:rFonts w:hint="eastAsia"/>
          <w:color w:val="0F6FC6" w:themeColor="accent5"/>
          <w14:textFill>
            <w14:solidFill>
              <w14:schemeClr w14:val="accent5"/>
            </w14:solidFill>
          </w14:textFill>
        </w:rPr>
        <w:t>二、毕业生需求情况</w:t>
      </w:r>
      <w:bookmarkEnd w:id="56"/>
      <w:bookmarkEnd w:id="57"/>
    </w:p>
    <w:p>
      <w:pPr>
        <w:pStyle w:val="236"/>
        <w:rPr>
          <w:szCs w:val="24"/>
        </w:rPr>
      </w:pPr>
      <w:r>
        <w:rPr>
          <w:rFonts w:hint="eastAsia"/>
          <w:b/>
          <w:color w:val="0F6FC6" w:themeColor="accent5"/>
          <w:szCs w:val="24"/>
          <w14:textFill>
            <w14:solidFill>
              <w14:schemeClr w14:val="accent5"/>
            </w14:solidFill>
          </w14:textFill>
        </w:rPr>
        <w:t>学历</w:t>
      </w:r>
      <w:r>
        <w:rPr>
          <w:b/>
          <w:color w:val="0F6FC6" w:themeColor="accent5"/>
          <w:szCs w:val="24"/>
          <w14:textFill>
            <w14:solidFill>
              <w14:schemeClr w14:val="accent5"/>
            </w14:solidFill>
          </w14:textFill>
        </w:rPr>
        <w:t>层次需求：</w:t>
      </w:r>
      <w:r>
        <w:rPr>
          <w:szCs w:val="24"/>
        </w:rPr>
        <w:t>用人单位反馈对本科学历层次的毕业生需求比例较高</w:t>
      </w:r>
      <w:r>
        <w:rPr>
          <w:rFonts w:hint="eastAsia"/>
          <w:szCs w:val="24"/>
        </w:rPr>
        <w:t>，</w:t>
      </w:r>
      <w:r>
        <w:rPr>
          <w:szCs w:val="24"/>
        </w:rPr>
        <w:t>其次为硕士学历和专科学历的毕业生</w:t>
      </w:r>
      <w:r>
        <w:rPr>
          <w:rFonts w:hint="eastAsia"/>
          <w:szCs w:val="24"/>
        </w:rPr>
        <w:t>。</w:t>
      </w:r>
    </w:p>
    <w:p>
      <w:pPr>
        <w:pStyle w:val="236"/>
        <w:rPr>
          <w:szCs w:val="24"/>
        </w:rPr>
      </w:pPr>
      <w:r>
        <w:drawing>
          <wp:inline distT="0" distB="0" distL="0" distR="0">
            <wp:extent cx="5342890" cy="1914525"/>
            <wp:effectExtent l="0" t="0" r="0" b="0"/>
            <wp:docPr id="56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218"/>
        <w:spacing w:before="156" w:after="156"/>
      </w:pPr>
      <w:r>
        <w:t xml:space="preserve">图1- </w:t>
      </w:r>
      <w:r>
        <w:fldChar w:fldCharType="begin"/>
      </w:r>
      <w:r>
        <w:instrText xml:space="preserve"> SEQ 图1- \* ARABIC </w:instrText>
      </w:r>
      <w:r>
        <w:fldChar w:fldCharType="separate"/>
      </w:r>
      <w:r>
        <w:t>3</w:t>
      </w:r>
      <w:r>
        <w:fldChar w:fldCharType="end"/>
      </w:r>
      <w:r>
        <w:rPr>
          <w:rStyle w:val="37"/>
          <w:b/>
          <w:bCs w:val="0"/>
        </w:rPr>
        <w:t xml:space="preserve">  </w:t>
      </w:r>
      <w:r>
        <w:rPr>
          <w:rFonts w:hint="eastAsia"/>
        </w:rPr>
        <w:t>用人单位不同学历毕业生的需求情况</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：各学历层次毕业生的需求比例是通过对各用人单位反馈的比例数据计算平均值得来的。（）</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：第三方机构新锦成-2021届毕业生用人单位调查</w:t>
      </w:r>
      <w:r>
        <w:rPr>
          <w:color w:val="0F6FC6" w:themeColor="accent5"/>
          <w14:textFill>
            <w14:solidFill>
              <w14:schemeClr w14:val="accent5"/>
            </w14:solidFill>
          </w14:textFill>
        </w:rPr>
        <w:t>。</w:t>
      </w:r>
    </w:p>
    <w:p>
      <w:pPr>
        <w:pStyle w:val="112"/>
        <w:ind w:firstLine="482"/>
      </w:pPr>
      <w:r>
        <w:rPr>
          <w:rFonts w:hint="eastAsia"/>
          <w:b/>
          <w:color w:val="0F6FC6" w:themeColor="accent1"/>
          <w:lang w:val="en-US"/>
          <w14:textFill>
            <w14:solidFill>
              <w14:schemeClr w14:val="accent1"/>
            </w14:solidFill>
          </w14:textFill>
        </w:rPr>
        <w:t>学科门类（专业大类）需求：</w:t>
      </w:r>
      <w:r>
        <w:rPr>
          <w:rFonts w:hint="eastAsia"/>
        </w:rPr>
        <w:t>医学类专业的重要性占比最高，可见用人单位对医学类专业的毕业生需求最大，其次为管理学和经济学。</w:t>
      </w:r>
    </w:p>
    <w:p>
      <w:pPr>
        <w:pStyle w:val="218"/>
        <w:spacing w:before="156" w:after="156"/>
        <w:rPr>
          <w:bCs/>
        </w:rPr>
      </w:pPr>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8</w:t>
      </w:r>
      <w:r>
        <w:fldChar w:fldCharType="end"/>
      </w:r>
      <w:r>
        <w:rPr>
          <w:bCs/>
        </w:rPr>
        <w:t xml:space="preserve">  </w:t>
      </w:r>
      <w:r>
        <w:rPr>
          <w:rFonts w:hint="eastAsia"/>
          <w:bCs/>
        </w:rPr>
        <w:t>用人单位招聘学科门类需求及重要性分布</w:t>
      </w:r>
    </w:p>
    <w:tbl>
      <w:tblPr>
        <w:tblStyle w:val="228"/>
        <w:tblW w:w="4979"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936"/>
        <w:gridCol w:w="1578"/>
        <w:gridCol w:w="1578"/>
        <w:gridCol w:w="1551"/>
        <w:gridCol w:w="232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学科门类</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第一位</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第二位</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第三位</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重要性占比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医学</w:t>
            </w:r>
          </w:p>
        </w:tc>
        <w:tc>
          <w:tcPr>
            <w:tcW w:w="0" w:type="auto"/>
            <w:shd w:val="clear" w:color="auto" w:fill="C7E2FA"/>
            <w:vAlign w:val="center"/>
          </w:tcPr>
          <w:p>
            <w:pPr>
              <w:pStyle w:val="185"/>
              <w:spacing w:before="100"/>
            </w:pPr>
            <w:r>
              <w:rPr>
                <w:color w:val="000000"/>
              </w:rPr>
              <w:t>21.43%</w:t>
            </w:r>
          </w:p>
        </w:tc>
        <w:tc>
          <w:tcPr>
            <w:tcW w:w="0" w:type="auto"/>
            <w:shd w:val="clear" w:color="auto" w:fill="C7E2FA"/>
            <w:vAlign w:val="center"/>
          </w:tcPr>
          <w:p>
            <w:pPr>
              <w:pStyle w:val="185"/>
              <w:spacing w:before="100"/>
            </w:pPr>
            <w:r>
              <w:rPr>
                <w:color w:val="000000"/>
              </w:rPr>
              <w:t>1.43%</w:t>
            </w:r>
          </w:p>
        </w:tc>
        <w:tc>
          <w:tcPr>
            <w:tcW w:w="0" w:type="auto"/>
            <w:shd w:val="clear" w:color="auto" w:fill="C7E2FA"/>
            <w:vAlign w:val="center"/>
          </w:tcPr>
          <w:p>
            <w:pPr>
              <w:pStyle w:val="185"/>
              <w:spacing w:before="100"/>
            </w:pPr>
            <w:r>
              <w:rPr>
                <w:color w:val="000000"/>
              </w:rPr>
              <w:t>2.14%</w:t>
            </w:r>
          </w:p>
        </w:tc>
        <w:tc>
          <w:tcPr>
            <w:tcW w:w="0" w:type="auto"/>
            <w:shd w:val="clear" w:color="auto" w:fill="C7E2FA"/>
            <w:vAlign w:val="center"/>
          </w:tcPr>
          <w:p>
            <w:pPr>
              <w:pStyle w:val="185"/>
              <w:spacing w:before="100"/>
            </w:pPr>
            <w:r>
              <w:rPr>
                <w:color w:val="000000"/>
              </w:rPr>
              <w:t>16.50%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管理学</w:t>
            </w:r>
          </w:p>
        </w:tc>
        <w:tc>
          <w:tcPr>
            <w:tcW w:w="0" w:type="auto"/>
            <w:vAlign w:val="center"/>
          </w:tcPr>
          <w:p>
            <w:pPr>
              <w:pStyle w:val="185"/>
              <w:spacing w:before="100"/>
            </w:pPr>
            <w:r>
              <w:rPr>
                <w:color w:val="000000"/>
              </w:rPr>
              <w:t>15.00%</w:t>
            </w:r>
          </w:p>
        </w:tc>
        <w:tc>
          <w:tcPr>
            <w:tcW w:w="0" w:type="auto"/>
            <w:vAlign w:val="center"/>
          </w:tcPr>
          <w:p>
            <w:pPr>
              <w:pStyle w:val="185"/>
              <w:spacing w:before="100"/>
            </w:pPr>
            <w:r>
              <w:rPr>
                <w:color w:val="000000"/>
              </w:rPr>
              <w:t>5.00%</w:t>
            </w:r>
          </w:p>
        </w:tc>
        <w:tc>
          <w:tcPr>
            <w:tcW w:w="0" w:type="auto"/>
            <w:vAlign w:val="center"/>
          </w:tcPr>
          <w:p>
            <w:pPr>
              <w:pStyle w:val="185"/>
              <w:spacing w:before="100"/>
            </w:pPr>
            <w:r>
              <w:rPr>
                <w:color w:val="000000"/>
              </w:rPr>
              <w:t>7.86%</w:t>
            </w:r>
          </w:p>
        </w:tc>
        <w:tc>
          <w:tcPr>
            <w:tcW w:w="0" w:type="auto"/>
            <w:vAlign w:val="center"/>
          </w:tcPr>
          <w:p>
            <w:pPr>
              <w:pStyle w:val="185"/>
              <w:spacing w:before="100"/>
            </w:pPr>
            <w:r>
              <w:rPr>
                <w:color w:val="000000"/>
              </w:rPr>
              <w:t>14.97%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经济学</w:t>
            </w:r>
          </w:p>
        </w:tc>
        <w:tc>
          <w:tcPr>
            <w:tcW w:w="0" w:type="auto"/>
            <w:shd w:val="clear" w:color="auto" w:fill="C7E2FA"/>
            <w:vAlign w:val="center"/>
          </w:tcPr>
          <w:p>
            <w:pPr>
              <w:pStyle w:val="185"/>
              <w:spacing w:before="100"/>
            </w:pPr>
            <w:r>
              <w:rPr>
                <w:color w:val="000000"/>
              </w:rPr>
              <w:t>17.14%</w:t>
            </w:r>
          </w:p>
        </w:tc>
        <w:tc>
          <w:tcPr>
            <w:tcW w:w="0" w:type="auto"/>
            <w:shd w:val="clear" w:color="auto" w:fill="C7E2FA"/>
            <w:vAlign w:val="center"/>
          </w:tcPr>
          <w:p>
            <w:pPr>
              <w:pStyle w:val="185"/>
              <w:spacing w:before="100"/>
            </w:pPr>
            <w:r>
              <w:rPr>
                <w:color w:val="000000"/>
              </w:rPr>
              <w:t>4.29%</w:t>
            </w:r>
          </w:p>
        </w:tc>
        <w:tc>
          <w:tcPr>
            <w:tcW w:w="0" w:type="auto"/>
            <w:shd w:val="clear" w:color="auto" w:fill="C7E2FA"/>
            <w:vAlign w:val="center"/>
          </w:tcPr>
          <w:p>
            <w:pPr>
              <w:pStyle w:val="185"/>
              <w:spacing w:before="100"/>
            </w:pPr>
            <w:r>
              <w:rPr>
                <w:color w:val="000000"/>
              </w:rPr>
              <w:t>2.86%</w:t>
            </w:r>
          </w:p>
        </w:tc>
        <w:tc>
          <w:tcPr>
            <w:tcW w:w="0" w:type="auto"/>
            <w:shd w:val="clear" w:color="auto" w:fill="C7E2FA"/>
            <w:vAlign w:val="center"/>
          </w:tcPr>
          <w:p>
            <w:pPr>
              <w:pStyle w:val="185"/>
              <w:spacing w:before="100"/>
            </w:pPr>
            <w:r>
              <w:rPr>
                <w:color w:val="000000"/>
              </w:rPr>
              <w:t>14.97%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工学</w:t>
            </w:r>
          </w:p>
        </w:tc>
        <w:tc>
          <w:tcPr>
            <w:tcW w:w="0" w:type="auto"/>
            <w:vAlign w:val="center"/>
          </w:tcPr>
          <w:p>
            <w:pPr>
              <w:pStyle w:val="185"/>
              <w:spacing w:before="100"/>
            </w:pPr>
            <w:r>
              <w:rPr>
                <w:color w:val="000000"/>
              </w:rPr>
              <w:t>9.29%</w:t>
            </w:r>
          </w:p>
        </w:tc>
        <w:tc>
          <w:tcPr>
            <w:tcW w:w="0" w:type="auto"/>
            <w:vAlign w:val="center"/>
          </w:tcPr>
          <w:p>
            <w:pPr>
              <w:pStyle w:val="185"/>
              <w:spacing w:before="100"/>
            </w:pPr>
            <w:r>
              <w:rPr>
                <w:color w:val="000000"/>
              </w:rPr>
              <w:t>10.71%</w:t>
            </w:r>
          </w:p>
        </w:tc>
        <w:tc>
          <w:tcPr>
            <w:tcW w:w="0" w:type="auto"/>
            <w:vAlign w:val="center"/>
          </w:tcPr>
          <w:p>
            <w:pPr>
              <w:pStyle w:val="185"/>
              <w:spacing w:before="100"/>
            </w:pPr>
            <w:r>
              <w:rPr>
                <w:color w:val="000000"/>
              </w:rPr>
              <w:t>4.29%</w:t>
            </w:r>
          </w:p>
        </w:tc>
        <w:tc>
          <w:tcPr>
            <w:tcW w:w="0" w:type="auto"/>
            <w:vAlign w:val="center"/>
          </w:tcPr>
          <w:p>
            <w:pPr>
              <w:pStyle w:val="185"/>
              <w:spacing w:before="100"/>
            </w:pPr>
            <w:r>
              <w:rPr>
                <w:color w:val="000000"/>
              </w:rPr>
              <w:t>12.76%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理学</w:t>
            </w:r>
          </w:p>
        </w:tc>
        <w:tc>
          <w:tcPr>
            <w:tcW w:w="0" w:type="auto"/>
            <w:shd w:val="clear" w:color="auto" w:fill="C7E2FA"/>
            <w:vAlign w:val="center"/>
          </w:tcPr>
          <w:p>
            <w:pPr>
              <w:pStyle w:val="185"/>
              <w:spacing w:before="100"/>
            </w:pPr>
            <w:r>
              <w:rPr>
                <w:color w:val="000000"/>
              </w:rPr>
              <w:t>10.71%</w:t>
            </w:r>
          </w:p>
        </w:tc>
        <w:tc>
          <w:tcPr>
            <w:tcW w:w="0" w:type="auto"/>
            <w:shd w:val="clear" w:color="auto" w:fill="C7E2FA"/>
            <w:vAlign w:val="center"/>
          </w:tcPr>
          <w:p>
            <w:pPr>
              <w:pStyle w:val="185"/>
              <w:spacing w:before="100"/>
            </w:pPr>
            <w:r>
              <w:rPr>
                <w:color w:val="000000"/>
              </w:rPr>
              <w:t>7.86%</w:t>
            </w:r>
          </w:p>
        </w:tc>
        <w:tc>
          <w:tcPr>
            <w:tcW w:w="0" w:type="auto"/>
            <w:shd w:val="clear" w:color="auto" w:fill="C7E2FA"/>
            <w:vAlign w:val="center"/>
          </w:tcPr>
          <w:p>
            <w:pPr>
              <w:pStyle w:val="185"/>
              <w:spacing w:before="100"/>
            </w:pPr>
            <w:r>
              <w:rPr>
                <w:color w:val="000000"/>
              </w:rPr>
              <w:t>3.57%</w:t>
            </w:r>
          </w:p>
        </w:tc>
        <w:tc>
          <w:tcPr>
            <w:tcW w:w="0" w:type="auto"/>
            <w:shd w:val="clear" w:color="auto" w:fill="C7E2FA"/>
            <w:vAlign w:val="center"/>
          </w:tcPr>
          <w:p>
            <w:pPr>
              <w:pStyle w:val="185"/>
              <w:spacing w:before="100"/>
            </w:pPr>
            <w:r>
              <w:rPr>
                <w:color w:val="000000"/>
              </w:rPr>
              <w:t>12.24%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教育学</w:t>
            </w:r>
          </w:p>
        </w:tc>
        <w:tc>
          <w:tcPr>
            <w:tcW w:w="0" w:type="auto"/>
            <w:vAlign w:val="center"/>
          </w:tcPr>
          <w:p>
            <w:pPr>
              <w:pStyle w:val="185"/>
              <w:spacing w:before="100"/>
            </w:pPr>
            <w:r>
              <w:rPr>
                <w:color w:val="000000"/>
              </w:rPr>
              <w:t>12.86%</w:t>
            </w:r>
          </w:p>
        </w:tc>
        <w:tc>
          <w:tcPr>
            <w:tcW w:w="0" w:type="auto"/>
            <w:vAlign w:val="center"/>
          </w:tcPr>
          <w:p>
            <w:pPr>
              <w:pStyle w:val="185"/>
              <w:spacing w:before="100"/>
            </w:pPr>
            <w:r>
              <w:rPr>
                <w:color w:val="000000"/>
              </w:rPr>
              <w:t>3.57%</w:t>
            </w:r>
          </w:p>
        </w:tc>
        <w:tc>
          <w:tcPr>
            <w:tcW w:w="0" w:type="auto"/>
            <w:vAlign w:val="center"/>
          </w:tcPr>
          <w:p>
            <w:pPr>
              <w:pStyle w:val="185"/>
              <w:spacing w:before="100"/>
            </w:pPr>
            <w:r>
              <w:rPr>
                <w:color w:val="000000"/>
              </w:rPr>
              <w:t>2.86%</w:t>
            </w:r>
          </w:p>
        </w:tc>
        <w:tc>
          <w:tcPr>
            <w:tcW w:w="0" w:type="auto"/>
            <w:vAlign w:val="center"/>
          </w:tcPr>
          <w:p>
            <w:pPr>
              <w:pStyle w:val="185"/>
              <w:spacing w:before="100"/>
            </w:pPr>
            <w:r>
              <w:rPr>
                <w:color w:val="000000"/>
              </w:rPr>
              <w:t>11.56%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艺术学</w:t>
            </w:r>
          </w:p>
        </w:tc>
        <w:tc>
          <w:tcPr>
            <w:tcW w:w="0" w:type="auto"/>
            <w:shd w:val="clear" w:color="auto" w:fill="C7E2FA"/>
            <w:vAlign w:val="center"/>
          </w:tcPr>
          <w:p>
            <w:pPr>
              <w:pStyle w:val="185"/>
              <w:spacing w:before="100"/>
            </w:pPr>
            <w:r>
              <w:rPr>
                <w:color w:val="000000"/>
              </w:rPr>
              <w:t>5.71%</w:t>
            </w:r>
          </w:p>
        </w:tc>
        <w:tc>
          <w:tcPr>
            <w:tcW w:w="0" w:type="auto"/>
            <w:shd w:val="clear" w:color="auto" w:fill="C7E2FA"/>
            <w:vAlign w:val="center"/>
          </w:tcPr>
          <w:p>
            <w:pPr>
              <w:pStyle w:val="185"/>
              <w:spacing w:before="100"/>
            </w:pPr>
            <w:r>
              <w:rPr>
                <w:color w:val="000000"/>
              </w:rPr>
              <w:t>5.71%</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6.80%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文学</w:t>
            </w:r>
          </w:p>
        </w:tc>
        <w:tc>
          <w:tcPr>
            <w:tcW w:w="0" w:type="auto"/>
            <w:vAlign w:val="center"/>
          </w:tcPr>
          <w:p>
            <w:pPr>
              <w:pStyle w:val="185"/>
              <w:spacing w:before="100"/>
            </w:pPr>
            <w:r>
              <w:rPr>
                <w:color w:val="000000"/>
              </w:rPr>
              <w:t>4.29%</w:t>
            </w:r>
          </w:p>
        </w:tc>
        <w:tc>
          <w:tcPr>
            <w:tcW w:w="0" w:type="auto"/>
            <w:vAlign w:val="center"/>
          </w:tcPr>
          <w:p>
            <w:pPr>
              <w:pStyle w:val="185"/>
              <w:spacing w:before="100"/>
            </w:pPr>
            <w:r>
              <w:rPr>
                <w:color w:val="000000"/>
              </w:rPr>
              <w:t>3.57%</w:t>
            </w:r>
          </w:p>
        </w:tc>
        <w:tc>
          <w:tcPr>
            <w:tcW w:w="0" w:type="auto"/>
            <w:vAlign w:val="center"/>
          </w:tcPr>
          <w:p>
            <w:pPr>
              <w:pStyle w:val="185"/>
              <w:spacing w:before="100"/>
            </w:pPr>
            <w:r>
              <w:rPr>
                <w:color w:val="000000"/>
              </w:rPr>
              <w:t>0.71%</w:t>
            </w:r>
          </w:p>
        </w:tc>
        <w:tc>
          <w:tcPr>
            <w:tcW w:w="0" w:type="auto"/>
            <w:vAlign w:val="center"/>
          </w:tcPr>
          <w:p>
            <w:pPr>
              <w:pStyle w:val="185"/>
              <w:spacing w:before="100"/>
            </w:pPr>
            <w:r>
              <w:rPr>
                <w:color w:val="000000"/>
              </w:rPr>
              <w:t>4.93%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法学</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4.29%</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2.04%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哲学</w:t>
            </w:r>
          </w:p>
        </w:tc>
        <w:tc>
          <w:tcPr>
            <w:tcW w:w="0" w:type="auto"/>
            <w:vAlign w:val="center"/>
          </w:tcPr>
          <w:p>
            <w:pPr>
              <w:pStyle w:val="185"/>
              <w:spacing w:before="100"/>
            </w:pPr>
            <w:r>
              <w:rPr>
                <w:color w:val="000000"/>
              </w:rPr>
              <w:t>2.14%</w:t>
            </w:r>
          </w:p>
        </w:tc>
        <w:tc>
          <w:tcPr>
            <w:tcW w:w="0" w:type="auto"/>
            <w:vAlign w:val="center"/>
          </w:tcPr>
          <w:p>
            <w:pPr>
              <w:pStyle w:val="185"/>
              <w:spacing w:before="100"/>
            </w:pPr>
            <w:r>
              <w:rPr>
                <w:color w:val="000000"/>
              </w:rPr>
              <w:t>0.71%</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1.87%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历史学</w:t>
            </w:r>
          </w:p>
        </w:tc>
        <w:tc>
          <w:tcPr>
            <w:tcW w:w="0" w:type="auto"/>
            <w:shd w:val="clear" w:color="auto" w:fill="C7E2FA"/>
            <w:vAlign w:val="center"/>
          </w:tcPr>
          <w:p>
            <w:pPr>
              <w:pStyle w:val="185"/>
              <w:spacing w:before="100"/>
            </w:pPr>
            <w:r>
              <w:rPr>
                <w:color w:val="000000"/>
              </w:rPr>
              <w:t>1.43%</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1.02%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农学</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0.71%</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0.34%</w:t>
            </w:r>
          </w:p>
        </w:tc>
      </w:tr>
    </w:tbl>
    <w:p>
      <w:pPr>
        <w:ind w:firstLine="360" w:firstLineChars="200"/>
        <w:jc w:val="both"/>
        <w:rPr>
          <w:rFonts w:ascii="Times New Roman" w:hAnsi="Times New Roman"/>
          <w:color w:val="0F6FC6" w:themeColor="accent5"/>
          <w:sz w:val="18"/>
          <w:szCs w:val="18"/>
          <w:lang w:val="zh-CN"/>
          <w14:textFill>
            <w14:solidFill>
              <w14:schemeClr w14:val="accent5"/>
            </w14:solidFill>
          </w14:textFill>
        </w:rPr>
      </w:pPr>
      <w:r>
        <w:rPr>
          <w:rFonts w:ascii="Times New Roman" w:hAnsi="Times New Roman"/>
          <w:color w:val="0F6FC6" w:themeColor="accent5"/>
          <w:sz w:val="18"/>
          <w:szCs w:val="18"/>
          <w:lang w:val="zh-CN"/>
          <w14:textFill>
            <w14:solidFill>
              <w14:schemeClr w14:val="accent5"/>
            </w14:solidFill>
          </w14:textFill>
        </w:rPr>
        <w:t>注</w:t>
      </w:r>
      <w:r>
        <w:rPr>
          <w:rFonts w:hint="eastAsia" w:ascii="Times New Roman" w:hAnsi="Times New Roman"/>
          <w:color w:val="0F6FC6" w:themeColor="accent5"/>
          <w:sz w:val="18"/>
          <w:szCs w:val="18"/>
          <w:lang w:val="zh-CN"/>
          <w14:textFill>
            <w14:solidFill>
              <w14:schemeClr w14:val="accent5"/>
            </w14:solidFill>
          </w14:textFill>
        </w:rPr>
        <w:t>：</w:t>
      </w:r>
      <w:r>
        <w:rPr>
          <w:rFonts w:ascii="Times New Roman" w:hAnsi="Times New Roman"/>
          <w:color w:val="0F6FC6" w:themeColor="accent5"/>
          <w:sz w:val="18"/>
          <w:szCs w:val="18"/>
          <w14:textFill>
            <w14:solidFill>
              <w14:schemeClr w14:val="accent5"/>
            </w14:solidFill>
          </w14:textFill>
        </w:rPr>
        <w:t>此题为多选题</w:t>
      </w:r>
      <w:r>
        <w:rPr>
          <w:rFonts w:hint="eastAsia" w:ascii="Times New Roman" w:hAnsi="Times New Roman"/>
          <w:color w:val="0F6FC6" w:themeColor="accent5"/>
          <w:sz w:val="18"/>
          <w:szCs w:val="18"/>
          <w14:textFill>
            <w14:solidFill>
              <w14:schemeClr w14:val="accent5"/>
            </w14:solidFill>
          </w14:textFill>
        </w:rPr>
        <w:t>，</w:t>
      </w:r>
      <w:r>
        <w:rPr>
          <w:rFonts w:ascii="Times New Roman" w:hAnsi="Times New Roman"/>
          <w:color w:val="0F6FC6" w:themeColor="accent5"/>
          <w:sz w:val="18"/>
          <w:szCs w:val="18"/>
          <w14:textFill>
            <w14:solidFill>
              <w14:schemeClr w14:val="accent5"/>
            </w14:solidFill>
          </w14:textFill>
        </w:rPr>
        <w:t>限选三项</w:t>
      </w:r>
      <w:r>
        <w:rPr>
          <w:rFonts w:hint="eastAsia" w:ascii="Times New Roman" w:hAnsi="Times New Roman"/>
          <w:color w:val="0F6FC6" w:themeColor="accent5"/>
          <w:sz w:val="18"/>
          <w:szCs w:val="18"/>
          <w14:textFill>
            <w14:solidFill>
              <w14:schemeClr w14:val="accent5"/>
            </w14:solidFill>
          </w14:textFill>
        </w:rPr>
        <w:t>，且要求</w:t>
      </w:r>
      <w:r>
        <w:rPr>
          <w:rFonts w:ascii="Times New Roman" w:hAnsi="Times New Roman"/>
          <w:color w:val="0F6FC6" w:themeColor="accent5"/>
          <w:sz w:val="18"/>
          <w:szCs w:val="18"/>
          <w14:textFill>
            <w14:solidFill>
              <w14:schemeClr w14:val="accent5"/>
            </w14:solidFill>
          </w14:textFill>
        </w:rPr>
        <w:t>对选择项进行排序</w:t>
      </w:r>
      <w:r>
        <w:rPr>
          <w:rFonts w:hint="eastAsia" w:ascii="Times New Roman" w:hAnsi="Times New Roman"/>
          <w:color w:val="0F6FC6" w:themeColor="accent5"/>
          <w:sz w:val="18"/>
          <w:szCs w:val="18"/>
          <w14:textFill>
            <w14:solidFill>
              <w14:schemeClr w14:val="accent5"/>
            </w14:solidFill>
          </w14:textFill>
        </w:rPr>
        <w:t>；上表中“第一、二、三位”列中数据为某一专业类别排序结果被提及次数占全部用人单位样本量的比例；</w:t>
      </w:r>
      <w:r>
        <w:rPr>
          <w:rFonts w:hint="eastAsia" w:ascii="Times New Roman" w:hAnsi="Times New Roman"/>
          <w:color w:val="0F6FC6" w:themeColor="accent5"/>
          <w:sz w:val="18"/>
          <w:szCs w:val="18"/>
          <w:lang w:val="zh-CN"/>
          <w14:textFill>
            <w14:solidFill>
              <w14:schemeClr w14:val="accent5"/>
            </w14:solidFill>
          </w14:textFill>
        </w:rPr>
        <w:t>重要性占比计算公式：</w:t>
      </w:r>
      <w:r>
        <w:rPr>
          <w:rFonts w:hint="eastAsia" w:ascii="Times New Roman" w:hAnsi="Times New Roman"/>
          <w:color w:val="0F6FC6" w:themeColor="accent5"/>
          <w:sz w:val="18"/>
          <w:szCs w:val="18"/>
          <w14:textFill>
            <w14:solidFill>
              <w14:schemeClr w14:val="accent5"/>
            </w14:solidFill>
          </w14:textFill>
        </w:rPr>
        <w:t>分别赋予“第一位”、“第二位”、“第三位”</w:t>
      </w:r>
      <w:r>
        <w:rPr>
          <w:rFonts w:ascii="Times New Roman" w:hAnsi="Times New Roman"/>
          <w:color w:val="0F6FC6" w:themeColor="accent5"/>
          <w:sz w:val="18"/>
          <w:szCs w:val="18"/>
          <w14:textFill>
            <w14:solidFill>
              <w14:schemeClr w14:val="accent5"/>
            </w14:solidFill>
          </w14:textFill>
        </w:rPr>
        <w:t>1-3分</w:t>
      </w:r>
      <w:r>
        <w:rPr>
          <w:rFonts w:hint="eastAsia" w:ascii="Times New Roman" w:hAnsi="Times New Roman"/>
          <w:color w:val="0F6FC6" w:themeColor="accent5"/>
          <w:sz w:val="18"/>
          <w:szCs w:val="18"/>
          <w14:textFill>
            <w14:solidFill>
              <w14:schemeClr w14:val="accent5"/>
            </w14:solidFill>
          </w14:textFill>
        </w:rPr>
        <w:t>，计算重要性得分（重要性得分=被排在“第一位”的次数</w:t>
      </w:r>
      <w:r>
        <w:rPr>
          <w:rFonts w:ascii="Times New Roman" w:hAnsi="Times New Roman"/>
          <w:color w:val="0F6FC6" w:themeColor="accent5"/>
          <w:sz w:val="18"/>
          <w:szCs w:val="18"/>
          <w14:textFill>
            <w14:solidFill>
              <w14:schemeClr w14:val="accent5"/>
            </w14:solidFill>
          </w14:textFill>
        </w:rPr>
        <w:t>×</w:t>
      </w:r>
      <w:r>
        <w:rPr>
          <w:rFonts w:hint="eastAsia" w:ascii="Times New Roman" w:hAnsi="Times New Roman"/>
          <w:color w:val="0F6FC6" w:themeColor="accent5"/>
          <w:sz w:val="18"/>
          <w:szCs w:val="18"/>
          <w14:textFill>
            <w14:solidFill>
              <w14:schemeClr w14:val="accent5"/>
            </w14:solidFill>
          </w14:textFill>
        </w:rPr>
        <w:t>3分+被排在“第二位”的次数</w:t>
      </w:r>
      <w:r>
        <w:rPr>
          <w:rFonts w:ascii="Times New Roman" w:hAnsi="Times New Roman"/>
          <w:color w:val="0F6FC6" w:themeColor="accent5"/>
          <w:sz w:val="18"/>
          <w:szCs w:val="18"/>
          <w14:textFill>
            <w14:solidFill>
              <w14:schemeClr w14:val="accent5"/>
            </w14:solidFill>
          </w14:textFill>
        </w:rPr>
        <w:t>×</w:t>
      </w:r>
      <w:r>
        <w:rPr>
          <w:rFonts w:hint="eastAsia" w:ascii="Times New Roman" w:hAnsi="Times New Roman"/>
          <w:color w:val="0F6FC6" w:themeColor="accent5"/>
          <w:sz w:val="18"/>
          <w:szCs w:val="18"/>
          <w14:textFill>
            <w14:solidFill>
              <w14:schemeClr w14:val="accent5"/>
            </w14:solidFill>
          </w14:textFill>
        </w:rPr>
        <w:t>2分+被排在“第三位”的次数</w:t>
      </w:r>
      <w:r>
        <w:rPr>
          <w:rFonts w:ascii="Times New Roman" w:hAnsi="Times New Roman"/>
          <w:color w:val="0F6FC6" w:themeColor="accent5"/>
          <w:sz w:val="18"/>
          <w:szCs w:val="18"/>
          <w14:textFill>
            <w14:solidFill>
              <w14:schemeClr w14:val="accent5"/>
            </w14:solidFill>
          </w14:textFill>
        </w:rPr>
        <w:t>×</w:t>
      </w:r>
      <w:r>
        <w:rPr>
          <w:rFonts w:hint="eastAsia" w:ascii="Times New Roman" w:hAnsi="Times New Roman"/>
          <w:color w:val="0F6FC6" w:themeColor="accent5"/>
          <w:sz w:val="18"/>
          <w:szCs w:val="18"/>
          <w14:textFill>
            <w14:solidFill>
              <w14:schemeClr w14:val="accent5"/>
            </w14:solidFill>
          </w14:textFill>
        </w:rPr>
        <w:t>1分）；重要性占比=重要性得分/各项重要性得分总和×</w:t>
      </w:r>
      <w:r>
        <w:rPr>
          <w:rFonts w:ascii="Times New Roman" w:hAnsi="Times New Roman"/>
          <w:color w:val="0F6FC6" w:themeColor="accent5"/>
          <w:sz w:val="18"/>
          <w:szCs w:val="18"/>
          <w14:textFill>
            <w14:solidFill>
              <w14:schemeClr w14:val="accent5"/>
            </w14:solidFill>
          </w14:textFill>
        </w:rPr>
        <w:t>100%</w:t>
      </w:r>
      <w:r>
        <w:rPr>
          <w:rFonts w:hint="eastAsia" w:ascii="Times New Roman" w:hAnsi="Times New Roman"/>
          <w:color w:val="0F6FC6" w:themeColor="accent5"/>
          <w:sz w:val="18"/>
          <w:szCs w:val="18"/>
          <w14:textFill>
            <w14:solidFill>
              <w14:schemeClr w14:val="accent5"/>
            </w14:solidFill>
          </w14:textFill>
        </w:rPr>
        <w:t>。</w:t>
      </w:r>
    </w:p>
    <w:p>
      <w:pPr>
        <w:ind w:firstLine="360" w:firstLineChars="200"/>
        <w:jc w:val="both"/>
        <w:rPr>
          <w:rFonts w:ascii="Times New Roman" w:hAnsi="Times New Roman"/>
          <w:caps/>
          <w:color w:val="0F6FC6" w:themeColor="accent5"/>
          <w:sz w:val="18"/>
          <w14:textFill>
            <w14:solidFill>
              <w14:schemeClr w14:val="accent5"/>
            </w14:solidFill>
          </w14:textFill>
        </w:rPr>
      </w:pPr>
      <w:r>
        <w:rPr>
          <w:rFonts w:ascii="Times New Roman" w:hAnsi="Times New Roman"/>
          <w:caps/>
          <w:color w:val="0F6FC6" w:themeColor="accent5"/>
          <w:sz w:val="18"/>
          <w14:textFill>
            <w14:solidFill>
              <w14:schemeClr w14:val="accent5"/>
            </w14:solidFill>
          </w14:textFill>
        </w:rPr>
        <w:t>数据来源</w:t>
      </w:r>
      <w:r>
        <w:rPr>
          <w:rFonts w:hint="eastAsia" w:ascii="Times New Roman" w:hAnsi="Times New Roman"/>
          <w:caps/>
          <w:color w:val="0F6FC6" w:themeColor="accent5"/>
          <w:sz w:val="18"/>
          <w14:textFill>
            <w14:solidFill>
              <w14:schemeClr w14:val="accent5"/>
            </w14:solidFill>
          </w14:textFill>
        </w:rPr>
        <w:t>：第三方机构新锦成-2021届毕业生用人单位调查</w:t>
      </w:r>
      <w:r>
        <w:rPr>
          <w:rFonts w:ascii="Times New Roman" w:hAnsi="Times New Roman"/>
          <w:caps/>
          <w:color w:val="0F6FC6" w:themeColor="accent5"/>
          <w:sz w:val="18"/>
          <w14:textFill>
            <w14:solidFill>
              <w14:schemeClr w14:val="accent5"/>
            </w14:solidFill>
          </w14:textFill>
        </w:rPr>
        <w:t>。</w:t>
      </w:r>
    </w:p>
    <w:p>
      <w:pPr>
        <w:pStyle w:val="112"/>
      </w:pPr>
      <w:r>
        <w:rPr>
          <w:rFonts w:hint="eastAsia"/>
        </w:rPr>
        <w:t>医药卫生大类专业的重要性占比最高，可见用人单位对医药卫生大类专业的毕业生需求最大，其次为文化教育大类和电子信息大类。</w:t>
      </w:r>
    </w:p>
    <w:p>
      <w:pPr>
        <w:pStyle w:val="218"/>
        <w:spacing w:before="156" w:after="156"/>
        <w:rPr>
          <w:bCs/>
        </w:rPr>
      </w:pPr>
      <w:r>
        <w:rPr>
          <w:rFonts w:hint="eastAsia"/>
        </w:rPr>
        <w:t>表</w:t>
      </w:r>
      <w:r>
        <w:rPr>
          <w:rFonts w:hint="eastAsia" w:eastAsia="宋体"/>
        </w:rPr>
        <w:t>1</w:t>
      </w:r>
      <w:r>
        <w:rPr>
          <w:rFonts w:hint="eastAsia"/>
        </w:rPr>
        <w:t xml:space="preserve">- </w:t>
      </w:r>
      <w:r>
        <w:fldChar w:fldCharType="begin"/>
      </w:r>
      <w:r>
        <w:instrText xml:space="preserve"> </w:instrText>
      </w:r>
      <w:r>
        <w:rPr>
          <w:rFonts w:hint="eastAsia"/>
        </w:rPr>
        <w:instrText xml:space="preserve">SEQ 表1- \* ARABIC</w:instrText>
      </w:r>
      <w:r>
        <w:instrText xml:space="preserve"> </w:instrText>
      </w:r>
      <w:r>
        <w:fldChar w:fldCharType="separate"/>
      </w:r>
      <w:r>
        <w:t>9</w:t>
      </w:r>
      <w:r>
        <w:fldChar w:fldCharType="end"/>
      </w:r>
      <w:r>
        <w:rPr>
          <w:bCs/>
        </w:rPr>
        <w:t xml:space="preserve">  </w:t>
      </w:r>
      <w:r>
        <w:rPr>
          <w:rFonts w:hint="eastAsia"/>
          <w:bCs/>
        </w:rPr>
        <w:t>用人单位招聘专业大类需求及重要性分布</w:t>
      </w:r>
    </w:p>
    <w:tbl>
      <w:tblPr>
        <w:tblStyle w:val="228"/>
        <w:tblW w:w="4979"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377"/>
        <w:gridCol w:w="1260"/>
        <w:gridCol w:w="1238"/>
        <w:gridCol w:w="1238"/>
        <w:gridCol w:w="185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专业大类</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第一位</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第二位</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第三位</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Style w:val="185"/>
              <w:spacing w:before="100"/>
              <w:rPr>
                <w:b/>
                <w:bCs w:val="0"/>
                <w:color w:val="FFFFFF"/>
              </w:rPr>
            </w:pPr>
            <w:r>
              <w:rPr>
                <w:rFonts w:hint="eastAsia"/>
                <w:b/>
                <w:bCs w:val="0"/>
                <w:color w:val="FFFFFF"/>
              </w:rPr>
              <w:t>重要性占比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医药卫生大类</w:t>
            </w:r>
          </w:p>
        </w:tc>
        <w:tc>
          <w:tcPr>
            <w:tcW w:w="0" w:type="auto"/>
            <w:shd w:val="clear" w:color="auto" w:fill="C7E2FA"/>
            <w:vAlign w:val="center"/>
          </w:tcPr>
          <w:p>
            <w:pPr>
              <w:pStyle w:val="185"/>
              <w:spacing w:before="100"/>
            </w:pPr>
            <w:r>
              <w:rPr>
                <w:color w:val="000000"/>
              </w:rPr>
              <w:t>20.90%</w:t>
            </w:r>
          </w:p>
        </w:tc>
        <w:tc>
          <w:tcPr>
            <w:tcW w:w="0" w:type="auto"/>
            <w:shd w:val="clear" w:color="auto" w:fill="C7E2FA"/>
            <w:vAlign w:val="center"/>
          </w:tcPr>
          <w:p>
            <w:pPr>
              <w:pStyle w:val="185"/>
              <w:spacing w:before="100"/>
            </w:pPr>
            <w:r>
              <w:rPr>
                <w:color w:val="000000"/>
              </w:rPr>
              <w:t>1.49%</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16.45%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文化教育大类</w:t>
            </w:r>
          </w:p>
        </w:tc>
        <w:tc>
          <w:tcPr>
            <w:tcW w:w="0" w:type="auto"/>
            <w:vAlign w:val="center"/>
          </w:tcPr>
          <w:p>
            <w:pPr>
              <w:pStyle w:val="185"/>
              <w:spacing w:before="100"/>
            </w:pPr>
            <w:r>
              <w:rPr>
                <w:color w:val="000000"/>
              </w:rPr>
              <w:t>16.42%</w:t>
            </w:r>
          </w:p>
        </w:tc>
        <w:tc>
          <w:tcPr>
            <w:tcW w:w="0" w:type="auto"/>
            <w:vAlign w:val="center"/>
          </w:tcPr>
          <w:p>
            <w:pPr>
              <w:pStyle w:val="185"/>
              <w:spacing w:before="100"/>
            </w:pPr>
            <w:r>
              <w:rPr>
                <w:color w:val="000000"/>
              </w:rPr>
              <w:t>3.73%</w:t>
            </w:r>
          </w:p>
        </w:tc>
        <w:tc>
          <w:tcPr>
            <w:tcW w:w="0" w:type="auto"/>
            <w:vAlign w:val="center"/>
          </w:tcPr>
          <w:p>
            <w:pPr>
              <w:pStyle w:val="185"/>
              <w:spacing w:before="100"/>
            </w:pPr>
            <w:r>
              <w:rPr>
                <w:color w:val="000000"/>
              </w:rPr>
              <w:t>1.49%</w:t>
            </w:r>
          </w:p>
        </w:tc>
        <w:tc>
          <w:tcPr>
            <w:tcW w:w="0" w:type="auto"/>
            <w:vAlign w:val="center"/>
          </w:tcPr>
          <w:p>
            <w:pPr>
              <w:pStyle w:val="185"/>
              <w:spacing w:before="100"/>
            </w:pPr>
            <w:r>
              <w:rPr>
                <w:color w:val="000000"/>
              </w:rPr>
              <w:t>14.58%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电子信息大类</w:t>
            </w:r>
          </w:p>
        </w:tc>
        <w:tc>
          <w:tcPr>
            <w:tcW w:w="0" w:type="auto"/>
            <w:shd w:val="clear" w:color="auto" w:fill="C7E2FA"/>
            <w:vAlign w:val="center"/>
          </w:tcPr>
          <w:p>
            <w:pPr>
              <w:pStyle w:val="185"/>
              <w:spacing w:before="100"/>
            </w:pPr>
            <w:r>
              <w:rPr>
                <w:color w:val="000000"/>
              </w:rPr>
              <w:t>14.93%</w:t>
            </w:r>
          </w:p>
        </w:tc>
        <w:tc>
          <w:tcPr>
            <w:tcW w:w="0" w:type="auto"/>
            <w:shd w:val="clear" w:color="auto" w:fill="C7E2FA"/>
            <w:vAlign w:val="center"/>
          </w:tcPr>
          <w:p>
            <w:pPr>
              <w:pStyle w:val="185"/>
              <w:spacing w:before="100"/>
            </w:pPr>
            <w:r>
              <w:rPr>
                <w:color w:val="000000"/>
              </w:rPr>
              <w:t>5.97%</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14.21%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艺术设计传媒大类</w:t>
            </w:r>
          </w:p>
        </w:tc>
        <w:tc>
          <w:tcPr>
            <w:tcW w:w="0" w:type="auto"/>
            <w:vAlign w:val="center"/>
          </w:tcPr>
          <w:p>
            <w:pPr>
              <w:pStyle w:val="185"/>
              <w:spacing w:before="100"/>
            </w:pPr>
            <w:r>
              <w:rPr>
                <w:color w:val="000000"/>
              </w:rPr>
              <w:t>7.46%</w:t>
            </w:r>
          </w:p>
        </w:tc>
        <w:tc>
          <w:tcPr>
            <w:tcW w:w="0" w:type="auto"/>
            <w:vAlign w:val="center"/>
          </w:tcPr>
          <w:p>
            <w:pPr>
              <w:pStyle w:val="185"/>
              <w:spacing w:before="100"/>
            </w:pPr>
            <w:r>
              <w:rPr>
                <w:color w:val="000000"/>
              </w:rPr>
              <w:t>7.46%</w:t>
            </w:r>
          </w:p>
        </w:tc>
        <w:tc>
          <w:tcPr>
            <w:tcW w:w="0" w:type="auto"/>
            <w:vAlign w:val="center"/>
          </w:tcPr>
          <w:p>
            <w:pPr>
              <w:pStyle w:val="185"/>
              <w:spacing w:before="100"/>
            </w:pPr>
            <w:r>
              <w:rPr>
                <w:color w:val="000000"/>
              </w:rPr>
              <w:t>2.99%</w:t>
            </w:r>
          </w:p>
        </w:tc>
        <w:tc>
          <w:tcPr>
            <w:tcW w:w="0" w:type="auto"/>
            <w:vAlign w:val="center"/>
          </w:tcPr>
          <w:p>
            <w:pPr>
              <w:pStyle w:val="185"/>
              <w:spacing w:before="100"/>
            </w:pPr>
            <w:r>
              <w:rPr>
                <w:color w:val="000000"/>
              </w:rPr>
              <w:t>10.09%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财经大类</w:t>
            </w:r>
          </w:p>
        </w:tc>
        <w:tc>
          <w:tcPr>
            <w:tcW w:w="0" w:type="auto"/>
            <w:shd w:val="clear" w:color="auto" w:fill="C7E2FA"/>
            <w:vAlign w:val="center"/>
          </w:tcPr>
          <w:p>
            <w:pPr>
              <w:pStyle w:val="185"/>
              <w:spacing w:before="100"/>
            </w:pPr>
            <w:r>
              <w:rPr>
                <w:color w:val="000000"/>
              </w:rPr>
              <w:t>5.22%</w:t>
            </w:r>
          </w:p>
        </w:tc>
        <w:tc>
          <w:tcPr>
            <w:tcW w:w="0" w:type="auto"/>
            <w:shd w:val="clear" w:color="auto" w:fill="C7E2FA"/>
            <w:vAlign w:val="center"/>
          </w:tcPr>
          <w:p>
            <w:pPr>
              <w:pStyle w:val="185"/>
              <w:spacing w:before="100"/>
            </w:pPr>
            <w:r>
              <w:rPr>
                <w:color w:val="000000"/>
              </w:rPr>
              <w:t>2.99%</w:t>
            </w:r>
          </w:p>
        </w:tc>
        <w:tc>
          <w:tcPr>
            <w:tcW w:w="0" w:type="auto"/>
            <w:shd w:val="clear" w:color="auto" w:fill="C7E2FA"/>
            <w:vAlign w:val="center"/>
          </w:tcPr>
          <w:p>
            <w:pPr>
              <w:pStyle w:val="185"/>
              <w:spacing w:before="100"/>
            </w:pPr>
            <w:r>
              <w:rPr>
                <w:color w:val="000000"/>
              </w:rPr>
              <w:t>2.99%</w:t>
            </w:r>
          </w:p>
        </w:tc>
        <w:tc>
          <w:tcPr>
            <w:tcW w:w="0" w:type="auto"/>
            <w:shd w:val="clear" w:color="auto" w:fill="C7E2FA"/>
            <w:vAlign w:val="center"/>
          </w:tcPr>
          <w:p>
            <w:pPr>
              <w:pStyle w:val="185"/>
              <w:spacing w:before="100"/>
            </w:pPr>
            <w:r>
              <w:rPr>
                <w:color w:val="000000"/>
              </w:rPr>
              <w:t>6.17%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农林牧渔大类</w:t>
            </w:r>
          </w:p>
        </w:tc>
        <w:tc>
          <w:tcPr>
            <w:tcW w:w="0" w:type="auto"/>
            <w:vAlign w:val="center"/>
          </w:tcPr>
          <w:p>
            <w:pPr>
              <w:pStyle w:val="185"/>
              <w:spacing w:before="100"/>
            </w:pPr>
            <w:r>
              <w:rPr>
                <w:color w:val="000000"/>
              </w:rPr>
              <w:t>5.97%</w:t>
            </w:r>
          </w:p>
        </w:tc>
        <w:tc>
          <w:tcPr>
            <w:tcW w:w="0" w:type="auto"/>
            <w:vAlign w:val="center"/>
          </w:tcPr>
          <w:p>
            <w:pPr>
              <w:pStyle w:val="185"/>
              <w:spacing w:before="100"/>
            </w:pPr>
            <w:r>
              <w:rPr>
                <w:color w:val="000000"/>
              </w:rPr>
              <w:t>0.75%</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4.86%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生化与药品大类</w:t>
            </w:r>
          </w:p>
        </w:tc>
        <w:tc>
          <w:tcPr>
            <w:tcW w:w="0" w:type="auto"/>
            <w:shd w:val="clear" w:color="auto" w:fill="C7E2FA"/>
            <w:vAlign w:val="center"/>
          </w:tcPr>
          <w:p>
            <w:pPr>
              <w:pStyle w:val="185"/>
              <w:spacing w:before="100"/>
            </w:pPr>
            <w:r>
              <w:rPr>
                <w:color w:val="000000"/>
              </w:rPr>
              <w:t>4.48%</w:t>
            </w:r>
          </w:p>
        </w:tc>
        <w:tc>
          <w:tcPr>
            <w:tcW w:w="0" w:type="auto"/>
            <w:shd w:val="clear" w:color="auto" w:fill="C7E2FA"/>
            <w:vAlign w:val="center"/>
          </w:tcPr>
          <w:p>
            <w:pPr>
              <w:pStyle w:val="185"/>
              <w:spacing w:before="100"/>
            </w:pPr>
            <w:r>
              <w:rPr>
                <w:color w:val="000000"/>
              </w:rPr>
              <w:t>2.24%</w:t>
            </w:r>
          </w:p>
        </w:tc>
        <w:tc>
          <w:tcPr>
            <w:tcW w:w="0" w:type="auto"/>
            <w:shd w:val="clear" w:color="auto" w:fill="C7E2FA"/>
            <w:vAlign w:val="center"/>
          </w:tcPr>
          <w:p>
            <w:pPr>
              <w:pStyle w:val="185"/>
              <w:spacing w:before="100"/>
            </w:pPr>
            <w:r>
              <w:rPr>
                <w:color w:val="000000"/>
              </w:rPr>
              <w:t>1.49%</w:t>
            </w:r>
          </w:p>
        </w:tc>
        <w:tc>
          <w:tcPr>
            <w:tcW w:w="0" w:type="auto"/>
            <w:shd w:val="clear" w:color="auto" w:fill="C7E2FA"/>
            <w:vAlign w:val="center"/>
          </w:tcPr>
          <w:p>
            <w:pPr>
              <w:pStyle w:val="185"/>
              <w:spacing w:before="100"/>
            </w:pPr>
            <w:r>
              <w:rPr>
                <w:color w:val="000000"/>
              </w:rPr>
              <w:t>4.86%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制造大类</w:t>
            </w:r>
          </w:p>
        </w:tc>
        <w:tc>
          <w:tcPr>
            <w:tcW w:w="0" w:type="auto"/>
            <w:vAlign w:val="center"/>
          </w:tcPr>
          <w:p>
            <w:pPr>
              <w:pStyle w:val="185"/>
              <w:spacing w:before="100"/>
            </w:pPr>
            <w:r>
              <w:rPr>
                <w:color w:val="000000"/>
              </w:rPr>
              <w:t>4.48%</w:t>
            </w:r>
          </w:p>
        </w:tc>
        <w:tc>
          <w:tcPr>
            <w:tcW w:w="0" w:type="auto"/>
            <w:vAlign w:val="center"/>
          </w:tcPr>
          <w:p>
            <w:pPr>
              <w:pStyle w:val="185"/>
              <w:spacing w:before="100"/>
            </w:pPr>
            <w:r>
              <w:rPr>
                <w:color w:val="000000"/>
              </w:rPr>
              <w:t>0.75%</w:t>
            </w:r>
          </w:p>
        </w:tc>
        <w:tc>
          <w:tcPr>
            <w:tcW w:w="0" w:type="auto"/>
            <w:vAlign w:val="center"/>
          </w:tcPr>
          <w:p>
            <w:pPr>
              <w:pStyle w:val="185"/>
              <w:spacing w:before="100"/>
            </w:pPr>
            <w:r>
              <w:rPr>
                <w:color w:val="000000"/>
              </w:rPr>
              <w:t>2.24%</w:t>
            </w:r>
          </w:p>
        </w:tc>
        <w:tc>
          <w:tcPr>
            <w:tcW w:w="0" w:type="auto"/>
            <w:vAlign w:val="center"/>
          </w:tcPr>
          <w:p>
            <w:pPr>
              <w:pStyle w:val="185"/>
              <w:spacing w:before="100"/>
            </w:pPr>
            <w:r>
              <w:rPr>
                <w:color w:val="000000"/>
              </w:rPr>
              <w:t>4.30%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公共事业大类</w:t>
            </w:r>
          </w:p>
        </w:tc>
        <w:tc>
          <w:tcPr>
            <w:tcW w:w="0" w:type="auto"/>
            <w:shd w:val="clear" w:color="auto" w:fill="C7E2FA"/>
            <w:vAlign w:val="center"/>
          </w:tcPr>
          <w:p>
            <w:pPr>
              <w:pStyle w:val="185"/>
              <w:spacing w:before="100"/>
            </w:pPr>
            <w:r>
              <w:rPr>
                <w:color w:val="000000"/>
              </w:rPr>
              <w:t>2.24%</w:t>
            </w:r>
          </w:p>
        </w:tc>
        <w:tc>
          <w:tcPr>
            <w:tcW w:w="0" w:type="auto"/>
            <w:shd w:val="clear" w:color="auto" w:fill="C7E2FA"/>
            <w:vAlign w:val="center"/>
          </w:tcPr>
          <w:p>
            <w:pPr>
              <w:pStyle w:val="185"/>
              <w:spacing w:before="100"/>
            </w:pPr>
            <w:r>
              <w:rPr>
                <w:color w:val="000000"/>
              </w:rPr>
              <w:t>2.99%</w:t>
            </w:r>
          </w:p>
        </w:tc>
        <w:tc>
          <w:tcPr>
            <w:tcW w:w="0" w:type="auto"/>
            <w:shd w:val="clear" w:color="auto" w:fill="C7E2FA"/>
            <w:vAlign w:val="center"/>
          </w:tcPr>
          <w:p>
            <w:pPr>
              <w:pStyle w:val="185"/>
              <w:spacing w:before="100"/>
            </w:pPr>
            <w:r>
              <w:rPr>
                <w:color w:val="000000"/>
              </w:rPr>
              <w:t>3.73%</w:t>
            </w:r>
          </w:p>
        </w:tc>
        <w:tc>
          <w:tcPr>
            <w:tcW w:w="0" w:type="auto"/>
            <w:shd w:val="clear" w:color="auto" w:fill="C7E2FA"/>
            <w:vAlign w:val="center"/>
          </w:tcPr>
          <w:p>
            <w:pPr>
              <w:pStyle w:val="185"/>
              <w:spacing w:before="100"/>
            </w:pPr>
            <w:r>
              <w:rPr>
                <w:color w:val="000000"/>
              </w:rPr>
              <w:t>4.11%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土建大类</w:t>
            </w:r>
          </w:p>
        </w:tc>
        <w:tc>
          <w:tcPr>
            <w:tcW w:w="0" w:type="auto"/>
            <w:vAlign w:val="center"/>
          </w:tcPr>
          <w:p>
            <w:pPr>
              <w:pStyle w:val="185"/>
              <w:spacing w:before="100"/>
            </w:pPr>
            <w:r>
              <w:rPr>
                <w:color w:val="000000"/>
              </w:rPr>
              <w:t>3.73%</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1.49%</w:t>
            </w:r>
          </w:p>
        </w:tc>
        <w:tc>
          <w:tcPr>
            <w:tcW w:w="0" w:type="auto"/>
            <w:vAlign w:val="center"/>
          </w:tcPr>
          <w:p>
            <w:pPr>
              <w:pStyle w:val="185"/>
              <w:spacing w:before="100"/>
            </w:pPr>
            <w:r>
              <w:rPr>
                <w:color w:val="000000"/>
              </w:rPr>
              <w:t>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材料与能源大类</w:t>
            </w:r>
          </w:p>
        </w:tc>
        <w:tc>
          <w:tcPr>
            <w:tcW w:w="0" w:type="auto"/>
            <w:shd w:val="clear" w:color="auto" w:fill="C7E2FA"/>
            <w:vAlign w:val="center"/>
          </w:tcPr>
          <w:p>
            <w:pPr>
              <w:pStyle w:val="185"/>
              <w:spacing w:before="100"/>
            </w:pPr>
            <w:r>
              <w:rPr>
                <w:color w:val="000000"/>
              </w:rPr>
              <w:t>2.99%</w:t>
            </w:r>
          </w:p>
        </w:tc>
        <w:tc>
          <w:tcPr>
            <w:tcW w:w="0" w:type="auto"/>
            <w:shd w:val="clear" w:color="auto" w:fill="C7E2FA"/>
            <w:vAlign w:val="center"/>
          </w:tcPr>
          <w:p>
            <w:pPr>
              <w:pStyle w:val="185"/>
              <w:spacing w:before="100"/>
            </w:pPr>
            <w:r>
              <w:rPr>
                <w:color w:val="000000"/>
              </w:rPr>
              <w:t>1.49%</w:t>
            </w:r>
          </w:p>
        </w:tc>
        <w:tc>
          <w:tcPr>
            <w:tcW w:w="0" w:type="auto"/>
            <w:shd w:val="clear" w:color="auto" w:fill="C7E2FA"/>
            <w:vAlign w:val="center"/>
          </w:tcPr>
          <w:p>
            <w:pPr>
              <w:pStyle w:val="185"/>
              <w:spacing w:before="100"/>
            </w:pPr>
            <w:r>
              <w:rPr>
                <w:color w:val="000000"/>
              </w:rPr>
              <w:t>0.75%</w:t>
            </w:r>
          </w:p>
        </w:tc>
        <w:tc>
          <w:tcPr>
            <w:tcW w:w="0" w:type="auto"/>
            <w:shd w:val="clear" w:color="auto" w:fill="C7E2FA"/>
            <w:vAlign w:val="center"/>
          </w:tcPr>
          <w:p>
            <w:pPr>
              <w:pStyle w:val="185"/>
              <w:spacing w:before="100"/>
            </w:pPr>
            <w:r>
              <w:rPr>
                <w:color w:val="000000"/>
              </w:rPr>
              <w:t>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法律大类</w:t>
            </w:r>
          </w:p>
        </w:tc>
        <w:tc>
          <w:tcPr>
            <w:tcW w:w="0" w:type="auto"/>
            <w:vAlign w:val="center"/>
          </w:tcPr>
          <w:p>
            <w:pPr>
              <w:pStyle w:val="185"/>
              <w:spacing w:before="100"/>
            </w:pPr>
            <w:r>
              <w:rPr>
                <w:color w:val="000000"/>
              </w:rPr>
              <w:t>1.49%</w:t>
            </w:r>
          </w:p>
        </w:tc>
        <w:tc>
          <w:tcPr>
            <w:tcW w:w="0" w:type="auto"/>
            <w:vAlign w:val="center"/>
          </w:tcPr>
          <w:p>
            <w:pPr>
              <w:pStyle w:val="185"/>
              <w:spacing w:before="100"/>
            </w:pPr>
            <w:r>
              <w:rPr>
                <w:color w:val="000000"/>
              </w:rPr>
              <w:t>2.99%</w:t>
            </w:r>
          </w:p>
        </w:tc>
        <w:tc>
          <w:tcPr>
            <w:tcW w:w="0" w:type="auto"/>
            <w:vAlign w:val="center"/>
          </w:tcPr>
          <w:p>
            <w:pPr>
              <w:pStyle w:val="185"/>
              <w:spacing w:before="100"/>
            </w:pPr>
            <w:r>
              <w:rPr>
                <w:color w:val="000000"/>
              </w:rPr>
              <w:t>1.49%</w:t>
            </w:r>
          </w:p>
        </w:tc>
        <w:tc>
          <w:tcPr>
            <w:tcW w:w="0" w:type="auto"/>
            <w:vAlign w:val="center"/>
          </w:tcPr>
          <w:p>
            <w:pPr>
              <w:pStyle w:val="185"/>
              <w:spacing w:before="100"/>
            </w:pPr>
            <w:r>
              <w:rPr>
                <w:color w:val="000000"/>
              </w:rPr>
              <w:t>2.99%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资源开发与测绘大类</w:t>
            </w:r>
          </w:p>
        </w:tc>
        <w:tc>
          <w:tcPr>
            <w:tcW w:w="0" w:type="auto"/>
            <w:shd w:val="clear" w:color="auto" w:fill="C7E2FA"/>
            <w:vAlign w:val="center"/>
          </w:tcPr>
          <w:p>
            <w:pPr>
              <w:pStyle w:val="185"/>
              <w:spacing w:before="100"/>
            </w:pPr>
            <w:r>
              <w:rPr>
                <w:color w:val="000000"/>
              </w:rPr>
              <w:t>2.24%</w:t>
            </w:r>
          </w:p>
        </w:tc>
        <w:tc>
          <w:tcPr>
            <w:tcW w:w="0" w:type="auto"/>
            <w:shd w:val="clear" w:color="auto" w:fill="C7E2FA"/>
            <w:vAlign w:val="center"/>
          </w:tcPr>
          <w:p>
            <w:pPr>
              <w:pStyle w:val="185"/>
              <w:spacing w:before="100"/>
            </w:pPr>
            <w:r>
              <w:rPr>
                <w:color w:val="000000"/>
              </w:rPr>
              <w:t>1.49%</w:t>
            </w:r>
          </w:p>
        </w:tc>
        <w:tc>
          <w:tcPr>
            <w:tcW w:w="0" w:type="auto"/>
            <w:shd w:val="clear" w:color="auto" w:fill="C7E2FA"/>
            <w:vAlign w:val="center"/>
          </w:tcPr>
          <w:p>
            <w:pPr>
              <w:pStyle w:val="185"/>
              <w:spacing w:before="100"/>
            </w:pPr>
            <w:r>
              <w:rPr>
                <w:color w:val="000000"/>
              </w:rPr>
              <w:t>1.49%</w:t>
            </w:r>
          </w:p>
        </w:tc>
        <w:tc>
          <w:tcPr>
            <w:tcW w:w="0" w:type="auto"/>
            <w:shd w:val="clear" w:color="auto" w:fill="C7E2FA"/>
            <w:vAlign w:val="center"/>
          </w:tcPr>
          <w:p>
            <w:pPr>
              <w:pStyle w:val="185"/>
              <w:spacing w:before="100"/>
            </w:pPr>
            <w:r>
              <w:rPr>
                <w:color w:val="000000"/>
              </w:rPr>
              <w:t>2.80%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交通运输大学</w:t>
            </w:r>
          </w:p>
        </w:tc>
        <w:tc>
          <w:tcPr>
            <w:tcW w:w="0" w:type="auto"/>
            <w:vAlign w:val="center"/>
          </w:tcPr>
          <w:p>
            <w:pPr>
              <w:pStyle w:val="185"/>
              <w:spacing w:before="100"/>
            </w:pPr>
            <w:r>
              <w:rPr>
                <w:color w:val="000000"/>
              </w:rPr>
              <w:t>1.49%</w:t>
            </w:r>
          </w:p>
        </w:tc>
        <w:tc>
          <w:tcPr>
            <w:tcW w:w="0" w:type="auto"/>
            <w:vAlign w:val="center"/>
          </w:tcPr>
          <w:p>
            <w:pPr>
              <w:pStyle w:val="185"/>
              <w:spacing w:before="100"/>
            </w:pPr>
            <w:r>
              <w:rPr>
                <w:color w:val="000000"/>
              </w:rPr>
              <w:t>2.24%</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2.24%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轻纺食品大类</w:t>
            </w:r>
          </w:p>
        </w:tc>
        <w:tc>
          <w:tcPr>
            <w:tcW w:w="0" w:type="auto"/>
            <w:shd w:val="clear" w:color="auto" w:fill="C7E2FA"/>
            <w:vAlign w:val="center"/>
          </w:tcPr>
          <w:p>
            <w:pPr>
              <w:pStyle w:val="185"/>
              <w:spacing w:before="100"/>
            </w:pPr>
            <w:r>
              <w:rPr>
                <w:color w:val="000000"/>
              </w:rPr>
              <w:t>2.99%</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2.24%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水利大类</w:t>
            </w:r>
          </w:p>
        </w:tc>
        <w:tc>
          <w:tcPr>
            <w:tcW w:w="0" w:type="auto"/>
            <w:vAlign w:val="center"/>
          </w:tcPr>
          <w:p>
            <w:pPr>
              <w:pStyle w:val="185"/>
              <w:spacing w:before="100"/>
            </w:pPr>
            <w:r>
              <w:rPr>
                <w:color w:val="000000"/>
              </w:rPr>
              <w:t>2.24%</w:t>
            </w:r>
          </w:p>
        </w:tc>
        <w:tc>
          <w:tcPr>
            <w:tcW w:w="0" w:type="auto"/>
            <w:vAlign w:val="center"/>
          </w:tcPr>
          <w:p>
            <w:pPr>
              <w:pStyle w:val="185"/>
              <w:spacing w:before="100"/>
            </w:pPr>
            <w:r>
              <w:rPr>
                <w:color w:val="000000"/>
              </w:rPr>
              <w:t>0.75%</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2.06%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Style w:val="185"/>
              <w:spacing w:before="100"/>
              <w:rPr>
                <w:b w:val="0"/>
                <w:bCs w:val="0"/>
              </w:rPr>
            </w:pPr>
            <w:r>
              <w:rPr>
                <w:rFonts w:hint="eastAsia"/>
                <w:b w:val="0"/>
                <w:bCs w:val="0"/>
              </w:rPr>
              <w:t>旅游大类</w:t>
            </w:r>
          </w:p>
        </w:tc>
        <w:tc>
          <w:tcPr>
            <w:tcW w:w="0" w:type="auto"/>
            <w:shd w:val="clear" w:color="auto" w:fill="C7E2FA"/>
            <w:vAlign w:val="center"/>
          </w:tcPr>
          <w:p>
            <w:pPr>
              <w:pStyle w:val="185"/>
              <w:spacing w:before="100"/>
            </w:pPr>
            <w:r>
              <w:rPr>
                <w:color w:val="000000"/>
              </w:rPr>
              <w:t>0.75%</w:t>
            </w:r>
          </w:p>
        </w:tc>
        <w:tc>
          <w:tcPr>
            <w:tcW w:w="0" w:type="auto"/>
            <w:shd w:val="clear" w:color="auto" w:fill="C7E2FA"/>
            <w:vAlign w:val="center"/>
          </w:tcPr>
          <w:p>
            <w:pPr>
              <w:pStyle w:val="185"/>
              <w:spacing w:before="100"/>
            </w:pPr>
            <w:r>
              <w:rPr>
                <w:color w:val="000000"/>
              </w:rPr>
              <w:t>0.75%</w:t>
            </w:r>
          </w:p>
        </w:tc>
        <w:tc>
          <w:tcPr>
            <w:tcW w:w="0" w:type="auto"/>
            <w:shd w:val="clear" w:color="auto" w:fill="C7E2FA"/>
            <w:vAlign w:val="center"/>
          </w:tcPr>
          <w:p>
            <w:pPr>
              <w:pStyle w:val="185"/>
              <w:spacing w:before="100"/>
            </w:pPr>
            <w:r>
              <w:rPr>
                <w:color w:val="000000"/>
              </w:rPr>
              <w:t>0.00%</w:t>
            </w:r>
          </w:p>
        </w:tc>
        <w:tc>
          <w:tcPr>
            <w:tcW w:w="0" w:type="auto"/>
            <w:shd w:val="clear" w:color="auto" w:fill="C7E2FA"/>
            <w:vAlign w:val="center"/>
          </w:tcPr>
          <w:p>
            <w:pPr>
              <w:pStyle w:val="185"/>
              <w:spacing w:before="100"/>
            </w:pPr>
            <w:r>
              <w:rPr>
                <w:color w:val="000000"/>
              </w:rPr>
              <w:t>0.93%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Style w:val="185"/>
              <w:spacing w:before="100"/>
              <w:rPr>
                <w:b w:val="0"/>
                <w:bCs w:val="0"/>
              </w:rPr>
            </w:pPr>
            <w:r>
              <w:rPr>
                <w:rFonts w:hint="eastAsia"/>
                <w:b w:val="0"/>
                <w:bCs w:val="0"/>
              </w:rPr>
              <w:t>环保、气象与安全大类</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1.49%</w:t>
            </w:r>
          </w:p>
        </w:tc>
        <w:tc>
          <w:tcPr>
            <w:tcW w:w="0" w:type="auto"/>
            <w:vAlign w:val="center"/>
          </w:tcPr>
          <w:p>
            <w:pPr>
              <w:pStyle w:val="185"/>
              <w:spacing w:before="100"/>
            </w:pPr>
            <w:r>
              <w:rPr>
                <w:color w:val="000000"/>
              </w:rPr>
              <w:t>0.00%</w:t>
            </w:r>
          </w:p>
        </w:tc>
        <w:tc>
          <w:tcPr>
            <w:tcW w:w="0" w:type="auto"/>
            <w:vAlign w:val="center"/>
          </w:tcPr>
          <w:p>
            <w:pPr>
              <w:pStyle w:val="185"/>
              <w:spacing w:before="100"/>
            </w:pPr>
            <w:r>
              <w:rPr>
                <w:color w:val="000000"/>
              </w:rPr>
              <w:t>0.75%</w:t>
            </w:r>
          </w:p>
        </w:tc>
      </w:tr>
    </w:tbl>
    <w:p>
      <w:pPr>
        <w:ind w:firstLine="360" w:firstLineChars="200"/>
        <w:jc w:val="both"/>
        <w:rPr>
          <w:rFonts w:ascii="Times New Roman" w:hAnsi="Times New Roman"/>
          <w:color w:val="0F6FC6" w:themeColor="accent5"/>
          <w:sz w:val="18"/>
          <w:szCs w:val="18"/>
          <w14:textFill>
            <w14:solidFill>
              <w14:schemeClr w14:val="accent5"/>
            </w14:solidFill>
          </w14:textFill>
        </w:rPr>
      </w:pPr>
      <w:r>
        <w:rPr>
          <w:rFonts w:ascii="Times New Roman" w:hAnsi="Times New Roman"/>
          <w:color w:val="0F6FC6" w:themeColor="accent5"/>
          <w:sz w:val="18"/>
          <w:szCs w:val="18"/>
          <w:lang w:val="zh-CN"/>
          <w14:textFill>
            <w14:solidFill>
              <w14:schemeClr w14:val="accent5"/>
            </w14:solidFill>
          </w14:textFill>
        </w:rPr>
        <w:t>注</w:t>
      </w:r>
      <w:r>
        <w:rPr>
          <w:rFonts w:hint="eastAsia" w:ascii="Times New Roman" w:hAnsi="Times New Roman"/>
          <w:color w:val="0F6FC6" w:themeColor="accent5"/>
          <w:sz w:val="18"/>
          <w:szCs w:val="18"/>
          <w:lang w:val="zh-CN"/>
          <w14:textFill>
            <w14:solidFill>
              <w14:schemeClr w14:val="accent5"/>
            </w14:solidFill>
          </w14:textFill>
        </w:rPr>
        <w:t>：</w:t>
      </w:r>
      <w:r>
        <w:rPr>
          <w:rFonts w:ascii="Times New Roman" w:hAnsi="Times New Roman"/>
          <w:color w:val="0F6FC6" w:themeColor="accent5"/>
          <w:sz w:val="18"/>
          <w:szCs w:val="18"/>
          <w14:textFill>
            <w14:solidFill>
              <w14:schemeClr w14:val="accent5"/>
            </w14:solidFill>
          </w14:textFill>
        </w:rPr>
        <w:t>此题为多选题</w:t>
      </w:r>
      <w:r>
        <w:rPr>
          <w:rFonts w:hint="eastAsia" w:ascii="Times New Roman" w:hAnsi="Times New Roman"/>
          <w:color w:val="0F6FC6" w:themeColor="accent5"/>
          <w:sz w:val="18"/>
          <w:szCs w:val="18"/>
          <w14:textFill>
            <w14:solidFill>
              <w14:schemeClr w14:val="accent5"/>
            </w14:solidFill>
          </w14:textFill>
        </w:rPr>
        <w:t>，</w:t>
      </w:r>
      <w:r>
        <w:rPr>
          <w:rFonts w:ascii="Times New Roman" w:hAnsi="Times New Roman"/>
          <w:color w:val="0F6FC6" w:themeColor="accent5"/>
          <w:sz w:val="18"/>
          <w:szCs w:val="18"/>
          <w14:textFill>
            <w14:solidFill>
              <w14:schemeClr w14:val="accent5"/>
            </w14:solidFill>
          </w14:textFill>
        </w:rPr>
        <w:t>限选三项</w:t>
      </w:r>
      <w:r>
        <w:rPr>
          <w:rFonts w:hint="eastAsia" w:ascii="Times New Roman" w:hAnsi="Times New Roman"/>
          <w:color w:val="0F6FC6" w:themeColor="accent5"/>
          <w:sz w:val="18"/>
          <w:szCs w:val="18"/>
          <w14:textFill>
            <w14:solidFill>
              <w14:schemeClr w14:val="accent5"/>
            </w14:solidFill>
          </w14:textFill>
        </w:rPr>
        <w:t>，且要求</w:t>
      </w:r>
      <w:r>
        <w:rPr>
          <w:rFonts w:ascii="Times New Roman" w:hAnsi="Times New Roman"/>
          <w:color w:val="0F6FC6" w:themeColor="accent5"/>
          <w:sz w:val="18"/>
          <w:szCs w:val="18"/>
          <w14:textFill>
            <w14:solidFill>
              <w14:schemeClr w14:val="accent5"/>
            </w14:solidFill>
          </w14:textFill>
        </w:rPr>
        <w:t>对选择项进行排序</w:t>
      </w:r>
      <w:r>
        <w:rPr>
          <w:rFonts w:hint="eastAsia" w:ascii="Times New Roman" w:hAnsi="Times New Roman"/>
          <w:color w:val="0F6FC6" w:themeColor="accent5"/>
          <w:sz w:val="18"/>
          <w:szCs w:val="18"/>
          <w14:textFill>
            <w14:solidFill>
              <w14:schemeClr w14:val="accent5"/>
            </w14:solidFill>
          </w14:textFill>
        </w:rPr>
        <w:t>；上表中“第一、二、三位”列中数据为某一专业类别排序结果被提及次数占全部用人单位样本量的比例；</w:t>
      </w:r>
      <w:r>
        <w:rPr>
          <w:rFonts w:hint="eastAsia" w:ascii="Times New Roman" w:hAnsi="Times New Roman"/>
          <w:color w:val="0F6FC6" w:themeColor="accent5"/>
          <w:sz w:val="18"/>
          <w:szCs w:val="18"/>
          <w:lang w:val="zh-CN"/>
          <w14:textFill>
            <w14:solidFill>
              <w14:schemeClr w14:val="accent5"/>
            </w14:solidFill>
          </w14:textFill>
        </w:rPr>
        <w:t>重要性占比计算公式：</w:t>
      </w:r>
      <w:r>
        <w:rPr>
          <w:rFonts w:hint="eastAsia" w:ascii="Times New Roman" w:hAnsi="Times New Roman"/>
          <w:color w:val="0F6FC6" w:themeColor="accent5"/>
          <w:sz w:val="18"/>
          <w:szCs w:val="18"/>
          <w14:textFill>
            <w14:solidFill>
              <w14:schemeClr w14:val="accent5"/>
            </w14:solidFill>
          </w14:textFill>
        </w:rPr>
        <w:t>分别赋予“第一位”、“第二位”、“第三位”</w:t>
      </w:r>
      <w:r>
        <w:rPr>
          <w:rFonts w:ascii="Times New Roman" w:hAnsi="Times New Roman"/>
          <w:color w:val="0F6FC6" w:themeColor="accent5"/>
          <w:sz w:val="18"/>
          <w:szCs w:val="18"/>
          <w14:textFill>
            <w14:solidFill>
              <w14:schemeClr w14:val="accent5"/>
            </w14:solidFill>
          </w14:textFill>
        </w:rPr>
        <w:t>1-3分</w:t>
      </w:r>
      <w:r>
        <w:rPr>
          <w:rFonts w:hint="eastAsia" w:ascii="Times New Roman" w:hAnsi="Times New Roman"/>
          <w:color w:val="0F6FC6" w:themeColor="accent5"/>
          <w:sz w:val="18"/>
          <w:szCs w:val="18"/>
          <w14:textFill>
            <w14:solidFill>
              <w14:schemeClr w14:val="accent5"/>
            </w14:solidFill>
          </w14:textFill>
        </w:rPr>
        <w:t>，计算重要性得分（重要性得分=被排在“第一位”的次数</w:t>
      </w:r>
      <w:r>
        <w:rPr>
          <w:rFonts w:ascii="Times New Roman" w:hAnsi="Times New Roman"/>
          <w:color w:val="0F6FC6" w:themeColor="accent5"/>
          <w:sz w:val="18"/>
          <w:szCs w:val="18"/>
          <w14:textFill>
            <w14:solidFill>
              <w14:schemeClr w14:val="accent5"/>
            </w14:solidFill>
          </w14:textFill>
        </w:rPr>
        <w:t>×</w:t>
      </w:r>
      <w:r>
        <w:rPr>
          <w:rFonts w:hint="eastAsia" w:ascii="Times New Roman" w:hAnsi="Times New Roman"/>
          <w:color w:val="0F6FC6" w:themeColor="accent5"/>
          <w:sz w:val="18"/>
          <w:szCs w:val="18"/>
          <w14:textFill>
            <w14:solidFill>
              <w14:schemeClr w14:val="accent5"/>
            </w14:solidFill>
          </w14:textFill>
        </w:rPr>
        <w:t>3分+被排在“第二位”的次数</w:t>
      </w:r>
      <w:r>
        <w:rPr>
          <w:rFonts w:ascii="Times New Roman" w:hAnsi="Times New Roman"/>
          <w:color w:val="0F6FC6" w:themeColor="accent5"/>
          <w:sz w:val="18"/>
          <w:szCs w:val="18"/>
          <w14:textFill>
            <w14:solidFill>
              <w14:schemeClr w14:val="accent5"/>
            </w14:solidFill>
          </w14:textFill>
        </w:rPr>
        <w:t>×</w:t>
      </w:r>
      <w:r>
        <w:rPr>
          <w:rFonts w:hint="eastAsia" w:ascii="Times New Roman" w:hAnsi="Times New Roman"/>
          <w:color w:val="0F6FC6" w:themeColor="accent5"/>
          <w:sz w:val="18"/>
          <w:szCs w:val="18"/>
          <w14:textFill>
            <w14:solidFill>
              <w14:schemeClr w14:val="accent5"/>
            </w14:solidFill>
          </w14:textFill>
        </w:rPr>
        <w:t>2分+被排在“第三位”的次数</w:t>
      </w:r>
      <w:r>
        <w:rPr>
          <w:rFonts w:ascii="Times New Roman" w:hAnsi="Times New Roman"/>
          <w:color w:val="0F6FC6" w:themeColor="accent5"/>
          <w:sz w:val="18"/>
          <w:szCs w:val="18"/>
          <w14:textFill>
            <w14:solidFill>
              <w14:schemeClr w14:val="accent5"/>
            </w14:solidFill>
          </w14:textFill>
        </w:rPr>
        <w:t>×</w:t>
      </w:r>
      <w:r>
        <w:rPr>
          <w:rFonts w:hint="eastAsia" w:ascii="Times New Roman" w:hAnsi="Times New Roman"/>
          <w:color w:val="0F6FC6" w:themeColor="accent5"/>
          <w:sz w:val="18"/>
          <w:szCs w:val="18"/>
          <w14:textFill>
            <w14:solidFill>
              <w14:schemeClr w14:val="accent5"/>
            </w14:solidFill>
          </w14:textFill>
        </w:rPr>
        <w:t>1分）；重要性占比=重要性得分/各项重要性得分总和×</w:t>
      </w:r>
      <w:r>
        <w:rPr>
          <w:rFonts w:ascii="Times New Roman" w:hAnsi="Times New Roman"/>
          <w:color w:val="0F6FC6" w:themeColor="accent5"/>
          <w:sz w:val="18"/>
          <w:szCs w:val="18"/>
          <w14:textFill>
            <w14:solidFill>
              <w14:schemeClr w14:val="accent5"/>
            </w14:solidFill>
          </w14:textFill>
        </w:rPr>
        <w:t>100%</w:t>
      </w:r>
      <w:r>
        <w:rPr>
          <w:rFonts w:hint="eastAsia" w:ascii="Times New Roman" w:hAnsi="Times New Roman"/>
          <w:color w:val="0F6FC6" w:themeColor="accent5"/>
          <w:sz w:val="18"/>
          <w:szCs w:val="18"/>
          <w14:textFill>
            <w14:solidFill>
              <w14:schemeClr w14:val="accent5"/>
            </w14:solidFill>
          </w14:textFill>
        </w:rPr>
        <w:t>。</w:t>
      </w:r>
    </w:p>
    <w:p>
      <w:pPr>
        <w:ind w:firstLine="360" w:firstLineChars="200"/>
        <w:jc w:val="both"/>
        <w:rPr>
          <w:rFonts w:ascii="Times New Roman" w:hAnsi="Times New Roman"/>
          <w:color w:val="0F6FC6" w:themeColor="accent5"/>
          <w:sz w:val="18"/>
          <w:szCs w:val="18"/>
          <w14:textFill>
            <w14:solidFill>
              <w14:schemeClr w14:val="accent5"/>
            </w14:solidFill>
          </w14:textFill>
        </w:rPr>
      </w:pPr>
      <w:r>
        <w:rPr>
          <w:rFonts w:hint="eastAsia" w:ascii="Times New Roman" w:hAnsi="Times New Roman"/>
          <w:color w:val="0F6FC6" w:themeColor="accent5"/>
          <w:sz w:val="18"/>
          <w:szCs w:val="18"/>
          <w14:textFill>
            <w14:solidFill>
              <w14:schemeClr w14:val="accent5"/>
            </w14:solidFill>
          </w14:textFill>
        </w:rPr>
        <w:t>数据来源：第三方机构新锦成-2021届毕业生就业与培养质量调查。</w:t>
      </w:r>
    </w:p>
    <w:bookmarkEnd w:id="31"/>
    <w:p>
      <w:pPr>
        <w:pStyle w:val="180"/>
      </w:pPr>
      <w:r>
        <w:br w:type="page"/>
      </w:r>
    </w:p>
    <w:p>
      <w:pPr>
        <w:pStyle w:val="180"/>
      </w:pPr>
      <w:r>
        <w:rPr>
          <w:b w:val="0"/>
          <w:sz w:val="36"/>
          <w:lang w:val="en-US"/>
        </w:rPr>
        <w:drawing>
          <wp:anchor distT="0" distB="0" distL="114300" distR="114300" simplePos="0" relativeHeight="251660288" behindDoc="0" locked="0" layoutInCell="1" allowOverlap="1">
            <wp:simplePos x="0" y="0"/>
            <wp:positionH relativeFrom="page">
              <wp:posOffset>18415</wp:posOffset>
            </wp:positionH>
            <wp:positionV relativeFrom="paragraph">
              <wp:posOffset>-900430</wp:posOffset>
            </wp:positionV>
            <wp:extent cx="7545705" cy="10235565"/>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0506" cy="10241953"/>
                    </a:xfrm>
                    <a:prstGeom prst="rect">
                      <a:avLst/>
                    </a:prstGeom>
                  </pic:spPr>
                </pic:pic>
              </a:graphicData>
            </a:graphic>
          </wp:anchor>
        </w:drawing>
      </w:r>
    </w:p>
    <w:p>
      <w:pPr>
        <w:rPr>
          <w:rFonts w:ascii="Times New Roman" w:hAnsi="Times New Roman" w:eastAsia="黑体"/>
          <w:b/>
          <w:caps/>
          <w:color w:val="0F6FC6" w:themeColor="accent5"/>
          <w:sz w:val="21"/>
          <w:szCs w:val="36"/>
          <w:lang w:val="zh-CN"/>
          <w14:textFill>
            <w14:solidFill>
              <w14:schemeClr w14:val="accent5"/>
            </w14:solidFill>
          </w14:textFill>
        </w:rPr>
      </w:pPr>
      <w:r>
        <w:pict>
          <v:shape id="文本框 1396" o:spid="_x0000_s1028" o:spt="202" type="#_x0000_t202" style="position:absolute;left:0pt;margin-left:1.2pt;margin-top:76.25pt;height:184.5pt;width:594.15pt;mso-position-horizontal-relative:pag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YNzwIAAMcFAAAOAAAAZHJzL2Uyb0RvYy54bWysVM2O0zAQviPxDpbv2fw0aZto09Vu0yCk&#10;5UdaeAA3cRqLxA6223RBXOENOHHhznP1ORg7/dvdCwJyiGzP+Jv5Zj7P5dW2bdCGSsUET7F/4WFE&#10;eSFKxlcpfv8ud6YYKU14SRrBaYrvqcJXs+fPLvsuoYGoRVNSiQCEq6TvUlxr3SWuq4qatkRdiI5y&#10;MFZCtkTDVq7cUpIe0NvGDTxv7PZClp0UBVUKTrPBiGcWv6pood9UlaIaNSmG3LT9S/tfmr87uyTJ&#10;SpKuZsU+DfIXWbSEcQh6hMqIJmgt2ROolhVSKFHpi0K0rqgqVlDLAdj43iM2dzXpqOUCxVHdsUzq&#10;/8EWrzdvJWJliqcTjDhpoUe77992P37tfn5F/igemxL1nUrA864DX729EVtotaWrultRfFCIi3lN&#10;+IpeSyn6mpISUvTNTffs6oCjDMiyfyVKCEXWWligbSVbUz+oCAJ0aNX9sT10q1EBh5MojCZehFEB&#10;tmAUjvzINtAlyeF6J5V+QUWLzCLFEvpv4cnmVmmTDkkOLiYaFzlrGquBhj84AMfhBILDVWMzadiW&#10;fo69eDFdTEMnDMYLJ/SyzLnO56Ezzv1JlI2y+Tzzv5i4fpjUrCwpN2EO8vLDP2vfXuiDMI4CU6Jh&#10;pYEzKSm5Ws4biTYE5J3bzxYdLCc392EatgjA5RElPwi9myB28vF04oR5GDnxxJs6nh/fxGMvjMMs&#10;f0jplnH675RQn+I4CqJBTaekH3Hz7PeUG0lapmGANKwFBR+dSGI0uOClba0mrBnWZ6Uw6Z9KAe0+&#10;NNoq1oh0kKveLrf2fUCOgGbkvBTlPWhYClAYCBWmHyxqIT9h1MMkSbH6uCaSYtS85PAOYj8Mzeix&#10;G1BwABt5blmeWwgvACrFGqNhOdfDuFp3kq1qiDS8PC6u4e1UzKr6lNX+xcG0sOT2k82Mo/O99TrN&#10;39lvAAAA//8DAFBLAwQUAAYACAAAACEAVgK9g+EAAAAPAQAADwAAAGRycy9kb3ducmV2LnhtbExP&#10;TU/DMAy9I/EfIiNxY0mrBVjXdEJMXEGMD4lb1nhtReNUTbaWf493gosl+z2/j3Iz+16ccIxdIAPZ&#10;QoFAqoPrqDHw/vZ0cw8iJkvO9oHQwA9G2FSXF6UtXJjoFU+71AgWoVhYA21KQyFlrFv0Ni7CgMTY&#10;IYzeJl7HRrrRTizue5krdSu97YgdWjvgY4v19+7oDXw8H74+l+ql2Xo9TGFWkvxKGnN9NW/XPB7W&#10;IBLO6e8Dzh04P1QcbB+O5KLoDeRLJvJZ5xrEGc9W6g7E3oDOMw2yKuX/HtUvAAAA//8DAFBLAQIt&#10;ABQABgAIAAAAIQC2gziS/gAAAOEBAAATAAAAAAAAAAAAAAAAAAAAAABbQ29udGVudF9UeXBlc10u&#10;eG1sUEsBAi0AFAAGAAgAAAAhADj9If/WAAAAlAEAAAsAAAAAAAAAAAAAAAAALwEAAF9yZWxzLy5y&#10;ZWxzUEsBAi0AFAAGAAgAAAAhAFtCdg3PAgAAxwUAAA4AAAAAAAAAAAAAAAAALgIAAGRycy9lMm9E&#10;b2MueG1sUEsBAi0AFAAGAAgAAAAhAFYCvYPhAAAADwEAAA8AAAAAAAAAAAAAAAAAKQUAAGRycy9k&#10;b3ducmV2LnhtbFBLBQYAAAAABAAEAPMAAAA3BgAAAAA=&#10;">
            <v:path/>
            <v:fill on="f" focussize="0,0"/>
            <v:stroke on="f" joinstyle="miter"/>
            <v:imagedata o:title=""/>
            <o:lock v:ext="edit"/>
            <v:textbox>
              <w:txbxContent>
                <w:p>
                  <w:pPr>
                    <w:spacing w:line="360" w:lineRule="auto"/>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第二篇</w:t>
                  </w:r>
                </w:p>
                <w:p>
                  <w:pPr>
                    <w:spacing w:line="360" w:lineRule="auto"/>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毕业生</w:t>
                  </w:r>
                  <w:r>
                    <w:rPr>
                      <w:rFonts w:ascii="微软雅黑" w:hAnsi="微软雅黑" w:eastAsia="微软雅黑"/>
                      <w:b/>
                      <w:color w:val="0F6FC6"/>
                      <w:sz w:val="52"/>
                      <w:szCs w:val="52"/>
                    </w:rPr>
                    <w:t>就业基本情况</w:t>
                  </w:r>
                </w:p>
                <w:p>
                  <w:pPr>
                    <w:jc w:val="center"/>
                    <w:rPr>
                      <w:rFonts w:ascii="微软雅黑" w:hAnsi="微软雅黑" w:eastAsia="微软雅黑"/>
                      <w:b/>
                      <w:color w:val="4C659B"/>
                      <w:sz w:val="44"/>
                      <w:szCs w:val="36"/>
                    </w:rPr>
                  </w:pPr>
                </w:p>
              </w:txbxContent>
            </v:textbox>
          </v:shape>
        </w:pict>
      </w:r>
    </w:p>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58" w:name="_Toc80114284"/>
      <w:bookmarkStart w:id="59" w:name="_Toc92706712"/>
      <w:bookmarkStart w:id="60" w:name="_Toc520907383"/>
      <w:r>
        <w:rPr>
          <w:rFonts w:hint="eastAsia" w:ascii="Calibri" w:hAnsi="Calibri" w:eastAsia="黑体"/>
          <w:b/>
          <w:caps/>
          <w:color w:val="FFFFFF"/>
          <w:sz w:val="32"/>
          <w:szCs w:val="32"/>
        </w:rPr>
        <w:t>第二篇：毕业生就业基本情况</w:t>
      </w:r>
      <w:bookmarkEnd w:id="58"/>
      <w:bookmarkEnd w:id="59"/>
    </w:p>
    <w:p>
      <w:pPr>
        <w:spacing w:line="360" w:lineRule="auto"/>
        <w:ind w:firstLine="480" w:firstLineChars="200"/>
        <w:jc w:val="both"/>
      </w:pPr>
      <w:r>
        <w:rPr>
          <w:rFonts w:hint="eastAsia"/>
        </w:rPr>
        <w:t>毕业生基本情况包含毕业生的规模结构、毕业去向及落实率、社会贡献度、深造及创业等相关指标，是研究和优化学校培养体系的重要参考，能够为学校人</w:t>
      </w:r>
      <w:r>
        <w:t>才培养制度的改革发展提供借鉴。</w:t>
      </w:r>
    </w:p>
    <w:p>
      <w:pPr>
        <w:pStyle w:val="141"/>
        <w:rPr>
          <w:color w:val="0F6FC6" w:themeColor="accent5"/>
          <w14:textFill>
            <w14:solidFill>
              <w14:schemeClr w14:val="accent5"/>
            </w14:solidFill>
          </w14:textFill>
        </w:rPr>
      </w:pPr>
      <w:bookmarkStart w:id="61" w:name="_Toc92706713"/>
      <w:bookmarkStart w:id="62" w:name="_Toc82010489"/>
      <w:r>
        <w:rPr>
          <w:rFonts w:hint="eastAsia"/>
          <w:color w:val="0F6FC6" w:themeColor="accent5"/>
          <w14:textFill>
            <w14:solidFill>
              <w14:schemeClr w14:val="accent5"/>
            </w14:solidFill>
          </w14:textFill>
        </w:rPr>
        <w:t>一、毕业去向及落实率</w:t>
      </w:r>
      <w:bookmarkEnd w:id="61"/>
      <w:bookmarkEnd w:id="62"/>
    </w:p>
    <w:p>
      <w:pPr>
        <w:pStyle w:val="178"/>
        <w:spacing w:before="156"/>
        <w:ind w:firstLine="480"/>
      </w:pPr>
      <w:r>
        <w:rPr>
          <w:rFonts w:hint="eastAsia"/>
        </w:rPr>
        <w:t>毕业去向落实率反映了当前毕业生的供需状况，也反映了高校人才培养与社会经济建设和发展的适应状况。分析毕业生毕业去向及落实率，对于学校优化专业结构和人才培养模式，完善就业服务工作，以此适应社会经济发展需求有着重要意义。根据教育部发布的《教育部办公厅关于进一步做好普通高校毕业生就业统计与核查工作的通知》，学校按照通知要求，对毕业生毕业去向及落实率做了规范统计和数据计算。</w:t>
      </w:r>
    </w:p>
    <w:p>
      <w:pPr>
        <w:pStyle w:val="151"/>
        <w:rPr>
          <w:color w:val="0F6FC6" w:themeColor="accent5"/>
          <w14:textFill>
            <w14:solidFill>
              <w14:schemeClr w14:val="accent5"/>
            </w14:solidFill>
          </w14:textFill>
        </w:rPr>
      </w:pPr>
      <w:bookmarkStart w:id="63" w:name="_Toc520907394"/>
      <w:bookmarkStart w:id="64" w:name="_Toc92706714"/>
      <w:bookmarkStart w:id="65" w:name="_Toc82010490"/>
      <w:r>
        <w:rPr>
          <w:rFonts w:hint="eastAsia"/>
          <w:color w:val="0F6FC6" w:themeColor="accent5"/>
          <w14:textFill>
            <w14:solidFill>
              <w14:schemeClr w14:val="accent5"/>
            </w14:solidFill>
          </w14:textFill>
        </w:rPr>
        <w:t>（一）</w:t>
      </w:r>
      <w:r>
        <w:rPr>
          <w:color w:val="0F6FC6" w:themeColor="accent5"/>
          <w14:textFill>
            <w14:solidFill>
              <w14:schemeClr w14:val="accent5"/>
            </w14:solidFill>
          </w14:textFill>
        </w:rPr>
        <w:t>总体</w:t>
      </w:r>
      <w:r>
        <w:rPr>
          <w:rFonts w:hint="eastAsia"/>
          <w:color w:val="0F6FC6" w:themeColor="accent5"/>
          <w14:textFill>
            <w14:solidFill>
              <w14:schemeClr w14:val="accent5"/>
            </w14:solidFill>
          </w14:textFill>
        </w:rPr>
        <w:t>毕业去向及落实率</w:t>
      </w:r>
      <w:bookmarkEnd w:id="63"/>
      <w:bookmarkEnd w:id="64"/>
      <w:bookmarkEnd w:id="65"/>
    </w:p>
    <w:p>
      <w:pPr>
        <w:pStyle w:val="178"/>
        <w:spacing w:before="156"/>
        <w:ind w:firstLine="480"/>
      </w:pPr>
      <w:r>
        <w:rPr>
          <w:rFonts w:hint="eastAsia"/>
        </w:rPr>
        <w:t>学校2021届毕业生毕业去向落实率为90.7</w:t>
      </w:r>
      <w:r>
        <w:t>1</w:t>
      </w:r>
      <w:r>
        <w:rPr>
          <w:rFonts w:hint="eastAsia"/>
        </w:rPr>
        <w:t>%，本科毕业生毕业去向落实率为89.54%，专科毕业生毕业去向落实率为92.61%。</w:t>
      </w:r>
    </w:p>
    <w:p>
      <w:pPr>
        <w:pStyle w:val="176"/>
        <w:ind w:firstLine="360" w:firstLineChars="200"/>
        <w:jc w:val="center"/>
        <w:rPr>
          <w:color w:val="0F6FC6" w:themeColor="accent5"/>
          <w14:textFill>
            <w14:solidFill>
              <w14:schemeClr w14:val="accent5"/>
            </w14:solidFill>
          </w14:textFill>
        </w:rPr>
      </w:pPr>
      <w:r>
        <w:drawing>
          <wp:inline distT="0" distB="0" distL="0" distR="0">
            <wp:extent cx="5342890" cy="1914525"/>
            <wp:effectExtent l="0" t="0" r="0" b="0"/>
            <wp:docPr id="35"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218"/>
        <w:spacing w:before="156" w:after="156"/>
        <w:rPr>
          <w:rStyle w:val="37"/>
          <w:b/>
          <w:bCs w:val="0"/>
          <w:color w:val="0070C0"/>
        </w:rPr>
      </w:pPr>
      <w:bookmarkStart w:id="66" w:name="_Toc521678794"/>
      <w:r>
        <w:rPr>
          <w:rFonts w:hint="eastAsia"/>
          <w:color w:val="0070C0"/>
        </w:rPr>
        <w:t xml:space="preserve">图2- </w:t>
      </w:r>
      <w:r>
        <w:rPr>
          <w:color w:val="0070C0"/>
        </w:rPr>
        <w:fldChar w:fldCharType="begin"/>
      </w:r>
      <w:r>
        <w:rPr>
          <w:color w:val="0070C0"/>
        </w:rPr>
        <w:instrText xml:space="preserve"> </w:instrText>
      </w:r>
      <w:r>
        <w:rPr>
          <w:rFonts w:hint="eastAsia"/>
          <w:color w:val="0070C0"/>
        </w:rPr>
        <w:instrText xml:space="preserve">SEQ 图2- \* ARABIC</w:instrText>
      </w:r>
      <w:r>
        <w:rPr>
          <w:color w:val="0070C0"/>
        </w:rPr>
        <w:instrText xml:space="preserve"> </w:instrText>
      </w:r>
      <w:r>
        <w:rPr>
          <w:color w:val="0070C0"/>
        </w:rPr>
        <w:fldChar w:fldCharType="separate"/>
      </w:r>
      <w:r>
        <w:rPr>
          <w:color w:val="0070C0"/>
        </w:rPr>
        <w:t>1</w:t>
      </w:r>
      <w:r>
        <w:rPr>
          <w:color w:val="0070C0"/>
        </w:rPr>
        <w:fldChar w:fldCharType="end"/>
      </w:r>
      <w:r>
        <w:rPr>
          <w:rStyle w:val="37"/>
          <w:b w:val="0"/>
          <w:color w:val="0070C0"/>
        </w:rPr>
        <w:t xml:space="preserve"> </w:t>
      </w:r>
      <w:r>
        <w:rPr>
          <w:rStyle w:val="37"/>
          <w:b/>
          <w:color w:val="0070C0"/>
        </w:rPr>
        <w:t xml:space="preserve"> </w:t>
      </w:r>
      <w:r>
        <w:rPr>
          <w:rStyle w:val="37"/>
          <w:rFonts w:eastAsia="宋体"/>
          <w:b/>
          <w:color w:val="0070C0"/>
        </w:rPr>
        <w:t>2021届</w:t>
      </w:r>
      <w:r>
        <w:rPr>
          <w:rStyle w:val="37"/>
          <w:rFonts w:hint="eastAsia"/>
          <w:b/>
          <w:color w:val="0070C0"/>
        </w:rPr>
        <w:t>毕业生毕业去向落实率分布</w:t>
      </w:r>
      <w:bookmarkEnd w:id="66"/>
    </w:p>
    <w:p>
      <w:pPr>
        <w:pStyle w:val="176"/>
        <w:ind w:firstLine="360" w:firstLineChars="200"/>
        <w:jc w:val="both"/>
        <w:rPr>
          <w:rStyle w:val="37"/>
          <w:b w:val="0"/>
          <w:bCs w:val="0"/>
          <w:color w:val="0070C0"/>
          <w:szCs w:val="18"/>
        </w:rPr>
      </w:pPr>
      <w:r>
        <w:rPr>
          <w:rFonts w:hint="eastAsia"/>
          <w:color w:val="0070C0"/>
        </w:rPr>
        <w:t>数据来源：湖北省高校毕业生就业办公系统。</w:t>
      </w:r>
    </w:p>
    <w:p>
      <w:pPr>
        <w:pStyle w:val="178"/>
        <w:spacing w:before="156"/>
        <w:ind w:firstLine="480"/>
        <w:rPr>
          <w:lang w:val="en-US"/>
        </w:rPr>
      </w:pPr>
      <w:bookmarkStart w:id="67" w:name="_Toc521678795"/>
      <w:bookmarkStart w:id="68" w:name="_Toc521676291"/>
      <w:r>
        <w:rPr>
          <w:rFonts w:hint="eastAsia"/>
        </w:rPr>
        <w:t>从其</w:t>
      </w:r>
      <w:r>
        <w:t>去向构成</w:t>
      </w:r>
      <w:r>
        <w:rPr>
          <w:rFonts w:hint="eastAsia"/>
        </w:rPr>
        <w:t>来看</w:t>
      </w:r>
      <w:r>
        <w:rPr>
          <w:lang w:val="en-US"/>
        </w:rPr>
        <w:t>，</w:t>
      </w:r>
      <w:r>
        <w:rPr>
          <w:rFonts w:hint="eastAsia"/>
        </w:rPr>
        <w:t>学校</w:t>
      </w:r>
      <w:r>
        <w:rPr>
          <w:rFonts w:hint="eastAsia"/>
          <w:lang w:val="en-US"/>
        </w:rPr>
        <w:t>2021届</w:t>
      </w:r>
      <w:r>
        <w:rPr>
          <w:rFonts w:hint="eastAsia"/>
        </w:rPr>
        <w:t>毕业生</w:t>
      </w:r>
      <w:r>
        <w:t>以</w:t>
      </w:r>
      <w:r>
        <w:rPr>
          <w:rFonts w:hint="eastAsia"/>
          <w:lang w:val="en-US"/>
        </w:rPr>
        <w:t>“签就业协议”</w:t>
      </w:r>
      <w:r>
        <w:rPr>
          <w:rFonts w:hint="eastAsia"/>
        </w:rPr>
        <w:t>为主</w:t>
      </w:r>
      <w:r>
        <w:rPr>
          <w:rFonts w:hint="eastAsia"/>
          <w:lang w:val="en-US"/>
        </w:rPr>
        <w:t>（42.88%），“其他录用形式就业（其他形式就业）”（23.71%）</w:t>
      </w:r>
      <w:r>
        <w:rPr>
          <w:rFonts w:hint="eastAsia"/>
        </w:rPr>
        <w:t>和</w:t>
      </w:r>
      <w:r>
        <w:rPr>
          <w:rFonts w:hint="eastAsia"/>
          <w:lang w:val="en-US"/>
        </w:rPr>
        <w:t>“专科升普通本科”（16.46%）</w:t>
      </w:r>
      <w:r>
        <w:rPr>
          <w:rFonts w:hint="eastAsia"/>
        </w:rPr>
        <w:t>次之</w:t>
      </w:r>
      <w:r>
        <w:rPr>
          <w:rFonts w:hint="eastAsia"/>
          <w:lang w:val="en-US"/>
        </w:rPr>
        <w:t>；</w:t>
      </w:r>
      <w:r>
        <w:rPr>
          <w:rFonts w:hint="eastAsia"/>
        </w:rPr>
        <w:t>分学历</w:t>
      </w:r>
      <w:r>
        <w:t>层次来看</w:t>
      </w:r>
      <w:r>
        <w:rPr>
          <w:rFonts w:hint="eastAsia"/>
          <w:lang w:val="en-US"/>
        </w:rPr>
        <w:t>，</w:t>
      </w:r>
      <w:r>
        <w:rPr>
          <w:rFonts w:hint="eastAsia"/>
        </w:rPr>
        <w:t>本科</w:t>
      </w:r>
      <w:r>
        <w:t>毕业生的主要去向</w:t>
      </w:r>
      <w:r>
        <w:rPr>
          <w:rFonts w:hint="eastAsia"/>
        </w:rPr>
        <w:t>为</w:t>
      </w:r>
      <w:r>
        <w:rPr>
          <w:rFonts w:hint="eastAsia"/>
          <w:lang w:val="en-US"/>
        </w:rPr>
        <w:t>“签就业协议”（55.37%）、“其他录用形式就业（其他形式就业）”（23.96%）和“录取研究生”（6.34%）；</w:t>
      </w:r>
      <w:r>
        <w:rPr>
          <w:rFonts w:hint="eastAsia"/>
        </w:rPr>
        <w:t>专科</w:t>
      </w:r>
      <w:r>
        <w:t>毕业生的主要去向</w:t>
      </w:r>
      <w:r>
        <w:rPr>
          <w:rFonts w:hint="eastAsia"/>
        </w:rPr>
        <w:t>为</w:t>
      </w:r>
      <w:r>
        <w:rPr>
          <w:rFonts w:hint="eastAsia"/>
          <w:lang w:val="en-US"/>
        </w:rPr>
        <w:t>“专科升普通本科”（43.47%）</w:t>
      </w:r>
      <w:r>
        <w:rPr>
          <w:rFonts w:hint="eastAsia"/>
        </w:rPr>
        <w:t>。</w:t>
      </w: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w:t>
      </w:r>
      <w:r>
        <w:fldChar w:fldCharType="end"/>
      </w:r>
      <w:r>
        <w:t xml:space="preserve">  </w:t>
      </w:r>
      <w:r>
        <w:rPr>
          <w:rFonts w:eastAsia="宋体"/>
        </w:rPr>
        <w:t>2021</w:t>
      </w:r>
      <w:r>
        <w:t>届</w:t>
      </w:r>
      <w:r>
        <w:rPr>
          <w:rFonts w:hint="eastAsia"/>
        </w:rPr>
        <w:t>毕业生毕业去向分布</w:t>
      </w:r>
      <w:bookmarkEnd w:id="67"/>
      <w:bookmarkEnd w:id="68"/>
    </w:p>
    <w:tbl>
      <w:tblPr>
        <w:tblStyle w:val="225"/>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877"/>
        <w:gridCol w:w="2111"/>
        <w:gridCol w:w="709"/>
        <w:gridCol w:w="963"/>
        <w:gridCol w:w="709"/>
        <w:gridCol w:w="963"/>
        <w:gridCol w:w="709"/>
        <w:gridCol w:w="96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vMerge w:val="restart"/>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Style w:val="134"/>
              <w:spacing w:before="100" w:line="240" w:lineRule="auto"/>
              <w:rPr>
                <w:rFonts w:ascii="Times New Roman" w:hAnsi="Times New Roman" w:cs="Times New Roman"/>
                <w:b/>
                <w:bCs/>
                <w:color w:val="FFFFFF"/>
                <w:szCs w:val="21"/>
              </w:rPr>
            </w:pPr>
            <w:r>
              <w:rPr>
                <w:rFonts w:ascii="Times New Roman" w:hAnsi="Times New Roman" w:cs="Times New Roman"/>
                <w:b/>
                <w:bCs/>
                <w:color w:val="FFFFFF"/>
                <w:szCs w:val="21"/>
              </w:rPr>
              <w:t>毕业去向</w:t>
            </w:r>
          </w:p>
        </w:tc>
        <w:tc>
          <w:tcPr>
            <w:tcW w:w="0" w:type="auto"/>
            <w:vMerge w:val="restart"/>
            <w:tcBorders>
              <w:top w:val="single" w:color="0F6FC6" w:sz="4" w:space="0"/>
              <w:bottom w:val="single" w:color="0F6FC6" w:sz="4" w:space="0"/>
              <w:right w:val="nil"/>
              <w:insideH w:val="single" w:sz="4" w:space="0"/>
              <w:insideV w:val="nil"/>
            </w:tcBorders>
            <w:shd w:val="clear" w:color="auto" w:fill="0F6FC6"/>
            <w:vAlign w:val="center"/>
          </w:tcPr>
          <w:p>
            <w:pPr>
              <w:pStyle w:val="134"/>
              <w:spacing w:before="100" w:line="240" w:lineRule="auto"/>
              <w:rPr>
                <w:rFonts w:ascii="Times New Roman" w:hAnsi="Times New Roman" w:cs="Times New Roman"/>
                <w:b/>
                <w:bCs/>
                <w:color w:val="FFFFFF"/>
                <w:szCs w:val="21"/>
              </w:rPr>
            </w:pPr>
            <w:r>
              <w:rPr>
                <w:rFonts w:ascii="Times New Roman" w:hAnsi="Times New Roman" w:cs="Times New Roman"/>
                <w:b/>
                <w:bCs/>
                <w:color w:val="FFFFFF"/>
                <w:szCs w:val="21"/>
              </w:rPr>
              <w:t>毕业去向分类</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pStyle w:val="134"/>
              <w:spacing w:before="100" w:line="240" w:lineRule="auto"/>
              <w:rPr>
                <w:rFonts w:ascii="Times New Roman" w:hAnsi="Times New Roman" w:cs="Times New Roman"/>
                <w:b/>
                <w:bCs/>
                <w:color w:val="FFFFFF"/>
                <w:szCs w:val="21"/>
              </w:rPr>
            </w:pPr>
            <w:r>
              <w:rPr>
                <w:rFonts w:ascii="Times New Roman" w:hAnsi="Times New Roman" w:cs="Times New Roman"/>
                <w:b/>
                <w:bCs/>
                <w:color w:val="FFFFFF"/>
                <w:szCs w:val="21"/>
              </w:rPr>
              <w:t>本科毕业生</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pStyle w:val="134"/>
              <w:spacing w:before="100" w:line="240" w:lineRule="auto"/>
              <w:rPr>
                <w:rFonts w:ascii="Times New Roman" w:hAnsi="Times New Roman" w:cs="Times New Roman"/>
                <w:b/>
                <w:bCs/>
                <w:color w:val="FFFFFF"/>
                <w:szCs w:val="21"/>
              </w:rPr>
            </w:pPr>
            <w:r>
              <w:rPr>
                <w:rFonts w:ascii="Times New Roman" w:hAnsi="Times New Roman" w:cs="Times New Roman"/>
                <w:b/>
                <w:bCs/>
                <w:color w:val="FFFFFF"/>
                <w:szCs w:val="21"/>
              </w:rPr>
              <w:t>专科毕业生</w:t>
            </w:r>
          </w:p>
        </w:tc>
        <w:tc>
          <w:tcPr>
            <w:tcW w:w="0" w:type="auto"/>
            <w:gridSpan w:val="2"/>
            <w:tcBorders>
              <w:top w:val="single" w:color="0F6FC6" w:sz="4" w:space="0"/>
              <w:bottom w:val="single" w:color="0F6FC6" w:sz="4" w:space="0"/>
              <w:right w:val="single" w:color="0F6FC6" w:sz="4" w:space="0"/>
              <w:insideH w:val="single" w:sz="4" w:space="0"/>
              <w:insideV w:val="nil"/>
            </w:tcBorders>
            <w:shd w:val="clear" w:color="auto" w:fill="0F6FC6"/>
            <w:vAlign w:val="center"/>
          </w:tcPr>
          <w:p>
            <w:pPr>
              <w:pStyle w:val="134"/>
              <w:spacing w:before="100" w:line="240" w:lineRule="auto"/>
              <w:rPr>
                <w:rFonts w:ascii="Times New Roman" w:hAnsi="Times New Roman" w:cs="Times New Roman"/>
                <w:b/>
                <w:bCs/>
                <w:color w:val="FFFFFF"/>
                <w:szCs w:val="21"/>
              </w:rPr>
            </w:pPr>
            <w:r>
              <w:rPr>
                <w:rFonts w:ascii="Times New Roman" w:hAnsi="Times New Roman" w:cs="Times New Roman"/>
                <w:b/>
                <w:bCs/>
                <w:color w:val="FFFFFF"/>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vAlign w:val="center"/>
          </w:tcPr>
          <w:p>
            <w:pPr>
              <w:pStyle w:val="134"/>
              <w:spacing w:before="100" w:line="240" w:lineRule="auto"/>
              <w:rPr>
                <w:rFonts w:ascii="Times New Roman" w:hAnsi="Times New Roman" w:cs="Times New Roman"/>
                <w:b w:val="0"/>
                <w:bCs/>
                <w:szCs w:val="21"/>
              </w:rPr>
            </w:pPr>
          </w:p>
        </w:tc>
        <w:tc>
          <w:tcPr>
            <w:tcW w:w="0" w:type="auto"/>
            <w:vMerge w:val="continue"/>
            <w:shd w:val="clear" w:color="auto" w:fill="C7E2FA"/>
            <w:vAlign w:val="center"/>
          </w:tcPr>
          <w:p>
            <w:pPr>
              <w:pStyle w:val="134"/>
              <w:spacing w:before="100" w:line="240" w:lineRule="auto"/>
              <w:rPr>
                <w:rFonts w:ascii="Times New Roman" w:hAnsi="Times New Roman" w:cs="Times New Roman"/>
                <w:szCs w:val="21"/>
              </w:rPr>
            </w:pPr>
          </w:p>
        </w:tc>
        <w:tc>
          <w:tcPr>
            <w:tcW w:w="0" w:type="auto"/>
            <w:shd w:val="clear" w:color="auto" w:fill="C7E2FA"/>
            <w:vAlign w:val="center"/>
          </w:tcPr>
          <w:p>
            <w:pPr>
              <w:pStyle w:val="134"/>
              <w:spacing w:before="100" w:line="240" w:lineRule="auto"/>
              <w:rPr>
                <w:rFonts w:ascii="Times New Roman" w:hAnsi="Times New Roman" w:cs="Times New Roman"/>
                <w:szCs w:val="21"/>
              </w:rPr>
            </w:pPr>
            <w:r>
              <w:rPr>
                <w:rFonts w:ascii="Times New Roman" w:hAnsi="Times New Roman" w:cs="Times New Roman"/>
                <w:szCs w:val="21"/>
              </w:rPr>
              <w:t>人数</w:t>
            </w:r>
          </w:p>
        </w:tc>
        <w:tc>
          <w:tcPr>
            <w:tcW w:w="0" w:type="auto"/>
            <w:shd w:val="clear" w:color="auto" w:fill="C7E2FA"/>
            <w:vAlign w:val="center"/>
          </w:tcPr>
          <w:p>
            <w:pPr>
              <w:pStyle w:val="134"/>
              <w:spacing w:before="100" w:line="240" w:lineRule="auto"/>
              <w:rPr>
                <w:rFonts w:ascii="Times New Roman" w:hAnsi="Times New Roman" w:cs="Times New Roman"/>
                <w:szCs w:val="21"/>
              </w:rPr>
            </w:pPr>
            <w:r>
              <w:rPr>
                <w:rFonts w:ascii="Times New Roman" w:hAnsi="Times New Roman" w:cs="Times New Roman"/>
                <w:szCs w:val="21"/>
              </w:rPr>
              <w:t>占比</w:t>
            </w:r>
          </w:p>
        </w:tc>
        <w:tc>
          <w:tcPr>
            <w:tcW w:w="0" w:type="auto"/>
            <w:shd w:val="clear" w:color="auto" w:fill="C7E2FA"/>
            <w:vAlign w:val="center"/>
          </w:tcPr>
          <w:p>
            <w:pPr>
              <w:pStyle w:val="134"/>
              <w:spacing w:before="100" w:line="240" w:lineRule="auto"/>
              <w:rPr>
                <w:rFonts w:ascii="Times New Roman" w:hAnsi="Times New Roman" w:cs="Times New Roman"/>
                <w:szCs w:val="21"/>
              </w:rPr>
            </w:pPr>
            <w:r>
              <w:rPr>
                <w:rFonts w:ascii="Times New Roman" w:hAnsi="Times New Roman" w:cs="Times New Roman"/>
                <w:szCs w:val="21"/>
              </w:rPr>
              <w:t>人数</w:t>
            </w:r>
          </w:p>
        </w:tc>
        <w:tc>
          <w:tcPr>
            <w:tcW w:w="0" w:type="auto"/>
            <w:shd w:val="clear" w:color="auto" w:fill="C7E2FA"/>
            <w:vAlign w:val="center"/>
          </w:tcPr>
          <w:p>
            <w:pPr>
              <w:pStyle w:val="134"/>
              <w:spacing w:before="100" w:line="240" w:lineRule="auto"/>
              <w:rPr>
                <w:rFonts w:ascii="Times New Roman" w:hAnsi="Times New Roman" w:cs="Times New Roman"/>
                <w:szCs w:val="21"/>
              </w:rPr>
            </w:pPr>
            <w:r>
              <w:rPr>
                <w:rFonts w:ascii="Times New Roman" w:hAnsi="Times New Roman" w:cs="Times New Roman"/>
                <w:szCs w:val="21"/>
              </w:rPr>
              <w:t>占比</w:t>
            </w:r>
          </w:p>
        </w:tc>
        <w:tc>
          <w:tcPr>
            <w:tcW w:w="0" w:type="auto"/>
            <w:shd w:val="clear" w:color="auto" w:fill="C7E2FA"/>
            <w:vAlign w:val="center"/>
          </w:tcPr>
          <w:p>
            <w:pPr>
              <w:pStyle w:val="134"/>
              <w:spacing w:before="100" w:line="240" w:lineRule="auto"/>
              <w:rPr>
                <w:rFonts w:ascii="Times New Roman" w:hAnsi="Times New Roman" w:cs="Times New Roman"/>
                <w:szCs w:val="21"/>
              </w:rPr>
            </w:pPr>
            <w:r>
              <w:rPr>
                <w:rFonts w:ascii="Times New Roman" w:hAnsi="Times New Roman" w:cs="Times New Roman"/>
                <w:szCs w:val="21"/>
              </w:rPr>
              <w:t>人数</w:t>
            </w:r>
          </w:p>
        </w:tc>
        <w:tc>
          <w:tcPr>
            <w:tcW w:w="0" w:type="auto"/>
            <w:shd w:val="clear" w:color="auto" w:fill="C7E2FA"/>
            <w:vAlign w:val="center"/>
          </w:tcPr>
          <w:p>
            <w:pPr>
              <w:pStyle w:val="134"/>
              <w:spacing w:before="100" w:line="240" w:lineRule="auto"/>
              <w:rPr>
                <w:rFonts w:ascii="Times New Roman" w:hAnsi="Times New Roman" w:cs="Times New Roman"/>
                <w:szCs w:val="21"/>
              </w:rPr>
            </w:pPr>
            <w:r>
              <w:rPr>
                <w:rFonts w:ascii="Times New Roman" w:hAnsi="Times New Roman" w:cs="Times New Roman"/>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restart"/>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协议和合同就业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签就业协议</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1599</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55.37%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394</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22.39%</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1993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42.88%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协议和合同就业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应征义务兵</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0.87%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1.42%</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50</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协议和合同就业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签劳动合同</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1.07%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0.74%</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44</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bookmarkStart w:id="69" w:name="_Hlk91755690"/>
            <w:r>
              <w:rPr>
                <w:rFonts w:ascii="Times New Roman" w:hAnsi="Times New Roman" w:cs="Times New Roman"/>
                <w:b w:val="0"/>
                <w:bCs/>
              </w:rPr>
              <w:t>协议和合同就业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西部计划</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0.24%</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0.06%</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8</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协议和合同就业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三支一扶</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协议和合同就业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选调生</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协议和合同就业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农技特岗</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0.02%</w:t>
            </w:r>
          </w:p>
        </w:tc>
      </w:tr>
      <w:bookmarkEnd w:id="69"/>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restart"/>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升学</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专科升普通本科</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765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43.47%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765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16.46%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升学</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录取研究生</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183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6.34%</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183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升学</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出国、出境</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升学</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录取第二学士学位</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restart"/>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灵活就业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其他录用形式就业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692</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23.96%</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410</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23.30%</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1102</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23.71%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灵活就业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自由职业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0.73%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0.97%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38</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0.82%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灵活就业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自主创业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14</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0.48%</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restart"/>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暂不就业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不就业拟升学</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0.38%</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66</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3.75%</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77</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暂不就业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暂不就业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0.17%</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0.06%</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6</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restart"/>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待就业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求职中</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241</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8.34%</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59</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3.35%</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300</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6.45%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待就业</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签约中</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42</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1.45%</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0.23%</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46</w:t>
            </w:r>
          </w:p>
        </w:tc>
        <w:tc>
          <w:tcPr>
            <w:tcW w:w="0" w:type="auto"/>
            <w:shd w:val="clear" w:color="auto" w:fill="C7E2FA"/>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Merge w:val="continue"/>
            <w:shd w:val="clear" w:color="auto" w:fill="C7E2FA" w:themeFill="accent1" w:themeFillTint="33"/>
            <w:vAlign w:val="center"/>
          </w:tcPr>
          <w:p>
            <w:pPr>
              <w:pStyle w:val="134"/>
              <w:spacing w:before="100" w:line="240" w:lineRule="auto"/>
              <w:rPr>
                <w:rFonts w:ascii="Times New Roman" w:hAnsi="Times New Roman" w:cs="Times New Roman"/>
                <w:b w:val="0"/>
                <w:bCs/>
                <w:szCs w:val="21"/>
              </w:rPr>
            </w:pPr>
            <w:r>
              <w:rPr>
                <w:rFonts w:ascii="Times New Roman" w:hAnsi="Times New Roman" w:cs="Times New Roman"/>
                <w:b w:val="0"/>
                <w:bCs/>
              </w:rPr>
              <w:t>待就业</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拟参加公招考试</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0.10%</w:t>
            </w:r>
          </w:p>
        </w:tc>
        <w:tc>
          <w:tcPr>
            <w:tcW w:w="0" w:type="auto"/>
            <w:vAlign w:val="center"/>
          </w:tcPr>
          <w:p>
            <w:pPr>
              <w:pStyle w:val="134"/>
              <w:spacing w:before="100" w:line="240" w:lineRule="auto"/>
              <w:rPr>
                <w:rFonts w:ascii="Times New Roman" w:hAnsi="Times New Roman" w:cs="Times New Roman"/>
                <w:b/>
                <w:szCs w:val="21"/>
              </w:rPr>
            </w:pPr>
            <w:r>
              <w:rPr>
                <w:rFonts w:hint="eastAsia"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hint="eastAsia" w:ascii="Times New Roman" w:hAnsi="Times New Roman" w:cs="Times New Roman"/>
                <w:b/>
                <w:szCs w:val="21"/>
              </w:rPr>
              <w:t>-</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3</w:t>
            </w:r>
          </w:p>
        </w:tc>
        <w:tc>
          <w:tcPr>
            <w:tcW w:w="0" w:type="auto"/>
            <w:vAlign w:val="center"/>
          </w:tcPr>
          <w:p>
            <w:pPr>
              <w:pStyle w:val="134"/>
              <w:spacing w:before="100" w:line="240" w:lineRule="auto"/>
              <w:rPr>
                <w:rFonts w:ascii="Times New Roman" w:hAnsi="Times New Roman" w:cs="Times New Roman"/>
                <w:b/>
                <w:szCs w:val="21"/>
              </w:rPr>
            </w:pPr>
            <w:r>
              <w:rPr>
                <w:rFonts w:ascii="Times New Roman" w:hAnsi="Times New Roman" w:cs="Times New Roman"/>
              </w:rPr>
              <w:t>0.06%</w:t>
            </w:r>
          </w:p>
        </w:tc>
      </w:tr>
    </w:tbl>
    <w:p>
      <w:pPr>
        <w:pStyle w:val="176"/>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注：1.毕业去向落实率=(协议和合同就业人数+升学人数+灵活就业人数+自主创业人数)÷毕业生总人数×100.00%。 </w:t>
      </w:r>
    </w:p>
    <w:p>
      <w:pPr>
        <w:pStyle w:val="176"/>
        <w:ind w:firstLine="720" w:firstLineChars="4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2.协议和合同就业包括签就业协议形式就业、签劳动合同形式就业、应征义务兵、西部计划、三支一扶、选调生、农技特岗；灵活就业包括其他录用形式就业、自由职业；升学包括专科升普通本科、录取研究生、出国（境）、录取第二学士学位；暂不就业包含不就业拟升学、其他暂不就业；待就业包括求职中、签约中、拟参加公招考试。</w:t>
      </w:r>
    </w:p>
    <w:p>
      <w:pPr>
        <w:pStyle w:val="63"/>
        <w:spacing w:beforeLines="0" w:after="156"/>
        <w:ind w:firstLine="360"/>
        <w:rPr>
          <w:color w:val="0F6FC6" w:themeColor="accent5"/>
          <w:sz w:val="18"/>
          <w:szCs w:val="18"/>
          <w14:textFill>
            <w14:solidFill>
              <w14:schemeClr w14:val="accent5"/>
            </w14:solidFill>
          </w14:textFill>
        </w:rPr>
      </w:pPr>
      <w:r>
        <w:rPr>
          <w:rFonts w:hint="eastAsia"/>
          <w:color w:val="0F6FC6" w:themeColor="accent5"/>
          <w:sz w:val="18"/>
          <w:szCs w:val="18"/>
          <w14:textFill>
            <w14:solidFill>
              <w14:schemeClr w14:val="accent5"/>
            </w14:solidFill>
          </w14:textFill>
        </w:rPr>
        <w:t>数据来源：湖北省高校毕业生就业办公系统。</w:t>
      </w:r>
    </w:p>
    <w:p>
      <w:pPr>
        <w:pStyle w:val="151"/>
        <w:rPr>
          <w:color w:val="0F6FC6" w:themeColor="accent5"/>
          <w14:textFill>
            <w14:solidFill>
              <w14:schemeClr w14:val="accent5"/>
            </w14:solidFill>
          </w14:textFill>
        </w:rPr>
      </w:pPr>
      <w:bookmarkStart w:id="70" w:name="_Toc520907395"/>
      <w:bookmarkStart w:id="71" w:name="_Toc82010491"/>
      <w:bookmarkStart w:id="72" w:name="_Toc92706715"/>
      <w:r>
        <w:rPr>
          <w:rFonts w:hint="eastAsia"/>
          <w:color w:val="0F6FC6" w:themeColor="accent5"/>
          <w14:textFill>
            <w14:solidFill>
              <w14:schemeClr w14:val="accent5"/>
            </w14:solidFill>
          </w14:textFill>
        </w:rPr>
        <w:t>（二</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各学院</w:t>
      </w:r>
      <w:r>
        <w:rPr>
          <w:color w:val="0F6FC6" w:themeColor="accent5"/>
          <w14:textFill>
            <w14:solidFill>
              <w14:schemeClr w14:val="accent5"/>
            </w14:solidFill>
          </w14:textFill>
        </w:rPr>
        <w:t>毕业去向落实率</w:t>
      </w:r>
      <w:bookmarkEnd w:id="70"/>
      <w:bookmarkEnd w:id="71"/>
      <w:bookmarkEnd w:id="72"/>
    </w:p>
    <w:p>
      <w:pPr>
        <w:pStyle w:val="178"/>
        <w:spacing w:before="156"/>
        <w:ind w:firstLine="482"/>
      </w:pPr>
      <w:r>
        <w:rPr>
          <w:rFonts w:hint="eastAsia" w:cstheme="minorBidi"/>
          <w:b/>
          <w:bCs w:val="0"/>
          <w:color w:val="0F6FC6" w:themeColor="accent5"/>
          <w:szCs w:val="24"/>
          <w:lang w:val="en-US"/>
          <w14:textFill>
            <w14:solidFill>
              <w14:schemeClr w14:val="accent5"/>
            </w14:solidFill>
          </w14:textFill>
        </w:rPr>
        <w:t>本科毕业生：</w:t>
      </w:r>
      <w:r>
        <w:rPr>
          <w:rFonts w:hint="eastAsia"/>
        </w:rPr>
        <w:t>学校2021届本科毕业生分布在12个学院，其中毕业去向落实率相对较高的学院为机械工程学院（92.99%）、数理学院（92.19%）、文学与传媒学院（91.35%）等。</w:t>
      </w:r>
    </w:p>
    <w:p>
      <w:pPr>
        <w:pStyle w:val="178"/>
        <w:spacing w:before="156"/>
        <w:ind w:firstLine="0" w:firstLineChars="0"/>
        <w:jc w:val="center"/>
      </w:pPr>
      <w:r>
        <w:rPr>
          <w:lang w:val="en-US"/>
        </w:rPr>
        <w:drawing>
          <wp:inline distT="0" distB="0" distL="0" distR="0">
            <wp:extent cx="4895850" cy="3101975"/>
            <wp:effectExtent l="0" t="0" r="0" b="0"/>
            <wp:docPr id="534" name="图表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218"/>
        <w:spacing w:before="156" w:after="156"/>
      </w:pPr>
      <w:bookmarkStart w:id="73" w:name="_Toc521678796"/>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2</w:t>
      </w:r>
      <w:r>
        <w:fldChar w:fldCharType="end"/>
      </w:r>
      <w:r>
        <w:rPr>
          <w:bCs/>
        </w:rPr>
        <w:t xml:space="preserve"> </w:t>
      </w:r>
      <w:r>
        <w:rPr>
          <w:rFonts w:hint="eastAsia"/>
          <w:bCs/>
        </w:rPr>
        <w:t xml:space="preserve"> </w:t>
      </w:r>
      <w:r>
        <w:rPr>
          <w:rFonts w:hint="eastAsia" w:eastAsia="宋体"/>
          <w:bCs/>
        </w:rPr>
        <w:t>2021</w:t>
      </w:r>
      <w:r>
        <w:rPr>
          <w:rFonts w:hint="eastAsia"/>
          <w:bCs/>
        </w:rPr>
        <w:t>届各学院本科毕业生毕业去向落实率分布</w:t>
      </w:r>
      <w:bookmarkEnd w:id="73"/>
    </w:p>
    <w:p>
      <w:pPr>
        <w:pStyle w:val="176"/>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178"/>
        <w:spacing w:before="156"/>
        <w:ind w:firstLine="482"/>
      </w:pPr>
      <w:r>
        <w:rPr>
          <w:rFonts w:hint="eastAsia" w:cstheme="minorBidi"/>
          <w:b/>
          <w:bCs w:val="0"/>
          <w:color w:val="0F6FC6" w:themeColor="accent5"/>
          <w:szCs w:val="24"/>
          <w:lang w:val="en-US"/>
          <w14:textFill>
            <w14:solidFill>
              <w14:schemeClr w14:val="accent5"/>
            </w14:solidFill>
          </w14:textFill>
        </w:rPr>
        <w:t>专科毕业生</w:t>
      </w:r>
      <w:r>
        <w:rPr>
          <w:rFonts w:cstheme="minorBidi"/>
          <w:b/>
          <w:bCs w:val="0"/>
          <w:color w:val="0F6FC6" w:themeColor="accent5"/>
          <w:szCs w:val="24"/>
          <w:lang w:val="en-US"/>
          <w14:textFill>
            <w14:solidFill>
              <w14:schemeClr w14:val="accent5"/>
            </w14:solidFill>
          </w14:textFill>
        </w:rPr>
        <w:t>：</w:t>
      </w:r>
      <w:r>
        <w:rPr>
          <w:rFonts w:hint="eastAsia"/>
        </w:rPr>
        <w:t>学校2021届专科毕业生分布在9个学院，其中毕业去向落实率相对较高的学院为生物工程学院（100.00%）、化工与药学院（100.00%）、电子信息工程学院（96.05%）等。</w:t>
      </w:r>
    </w:p>
    <w:p>
      <w:pPr>
        <w:pStyle w:val="178"/>
        <w:spacing w:before="156"/>
        <w:ind w:firstLine="0" w:firstLineChars="0"/>
        <w:jc w:val="center"/>
      </w:pPr>
      <w:r>
        <w:rPr>
          <w:lang w:val="en-US"/>
        </w:rPr>
        <w:drawing>
          <wp:inline distT="0" distB="0" distL="0" distR="0">
            <wp:extent cx="4975225" cy="2600325"/>
            <wp:effectExtent l="0" t="0" r="0" b="0"/>
            <wp:docPr id="943"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218"/>
        <w:spacing w:before="156" w:after="156"/>
      </w:pPr>
      <w:bookmarkStart w:id="74" w:name="_Toc521678797"/>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3</w:t>
      </w:r>
      <w:r>
        <w:fldChar w:fldCharType="end"/>
      </w:r>
      <w:r>
        <w:rPr>
          <w:bCs/>
        </w:rPr>
        <w:t xml:space="preserve"> </w:t>
      </w:r>
      <w:r>
        <w:rPr>
          <w:rFonts w:hint="eastAsia"/>
          <w:bCs/>
        </w:rPr>
        <w:t xml:space="preserve"> </w:t>
      </w:r>
      <w:r>
        <w:rPr>
          <w:rFonts w:hint="eastAsia" w:eastAsia="宋体"/>
          <w:bCs/>
        </w:rPr>
        <w:t>2021</w:t>
      </w:r>
      <w:r>
        <w:rPr>
          <w:rFonts w:hint="eastAsia"/>
          <w:bCs/>
        </w:rPr>
        <w:t>届各学院专科毕业生毕业去向落实率分布</w:t>
      </w:r>
      <w:bookmarkEnd w:id="74"/>
    </w:p>
    <w:p>
      <w:pPr>
        <w:pStyle w:val="176"/>
        <w:ind w:firstLine="360" w:firstLineChars="2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151"/>
        <w:rPr>
          <w:color w:val="0F6FC6" w:themeColor="accent5"/>
          <w14:textFill>
            <w14:solidFill>
              <w14:schemeClr w14:val="accent5"/>
            </w14:solidFill>
          </w14:textFill>
        </w:rPr>
      </w:pPr>
      <w:bookmarkStart w:id="75" w:name="_Toc520907396"/>
      <w:bookmarkStart w:id="76" w:name="_Toc82010492"/>
      <w:bookmarkStart w:id="77" w:name="_Toc92706716"/>
      <w:bookmarkStart w:id="78" w:name="_Toc520907399"/>
      <w:bookmarkStart w:id="79" w:name="_Toc82010493"/>
      <w:r>
        <w:rPr>
          <w:rFonts w:hint="eastAsia"/>
          <w:color w:val="0F6FC6" w:themeColor="accent5"/>
          <w14:textFill>
            <w14:solidFill>
              <w14:schemeClr w14:val="accent5"/>
            </w14:solidFill>
          </w14:textFill>
        </w:rPr>
        <w:t>（三</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各专业</w:t>
      </w:r>
      <w:r>
        <w:rPr>
          <w:color w:val="0F6FC6" w:themeColor="accent5"/>
          <w14:textFill>
            <w14:solidFill>
              <w14:schemeClr w14:val="accent5"/>
            </w14:solidFill>
          </w14:textFill>
        </w:rPr>
        <w:t>毕业去向落实率</w:t>
      </w:r>
      <w:bookmarkEnd w:id="75"/>
      <w:bookmarkEnd w:id="76"/>
      <w:bookmarkEnd w:id="77"/>
    </w:p>
    <w:p>
      <w:pPr>
        <w:pStyle w:val="178"/>
        <w:spacing w:before="156"/>
        <w:ind w:firstLine="482"/>
      </w:pPr>
      <w:r>
        <w:rPr>
          <w:rFonts w:hint="eastAsia" w:cstheme="minorBidi"/>
          <w:b/>
          <w:color w:val="0F6FC6" w:themeColor="accent5"/>
          <w:szCs w:val="24"/>
          <w:lang w:val="en-US"/>
          <w14:textFill>
            <w14:solidFill>
              <w14:schemeClr w14:val="accent5"/>
            </w14:solidFill>
          </w14:textFill>
        </w:rPr>
        <w:t>本科毕业生</w:t>
      </w:r>
      <w:r>
        <w:rPr>
          <w:rFonts w:cstheme="minorBidi"/>
          <w:b/>
          <w:color w:val="0F6FC6" w:themeColor="accent5"/>
          <w:szCs w:val="24"/>
          <w:lang w:val="en-US"/>
          <w14:textFill>
            <w14:solidFill>
              <w14:schemeClr w14:val="accent5"/>
            </w14:solidFill>
          </w14:textFill>
        </w:rPr>
        <w:t>：</w:t>
      </w:r>
      <w:bookmarkStart w:id="80" w:name="_Toc521678798"/>
      <w:bookmarkStart w:id="81" w:name="_Toc521676292"/>
      <w:r>
        <w:rPr>
          <w:rFonts w:hint="eastAsia"/>
        </w:rPr>
        <w:t>学校2021届</w:t>
      </w:r>
      <w:r>
        <w:t>本科毕业生</w:t>
      </w:r>
      <w:r>
        <w:rPr>
          <w:rFonts w:hint="eastAsia"/>
        </w:rPr>
        <w:t>分布在37</w:t>
      </w:r>
      <w:r>
        <w:t>个专业，</w:t>
      </w:r>
      <w:r>
        <w:rPr>
          <w:rFonts w:hint="eastAsia"/>
        </w:rPr>
        <w:t>其中毕业去向落实率相对较高的专业为网络与新媒体（100.00%）、印刷工程（100.00%）、机械电子工程（95.92%）等。</w:t>
      </w: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2</w:t>
      </w:r>
      <w:r>
        <w:fldChar w:fldCharType="end"/>
      </w:r>
      <w:r>
        <w:rPr>
          <w:rFonts w:hint="eastAsia"/>
        </w:rPr>
        <w:t xml:space="preserve">  </w:t>
      </w:r>
      <w:r>
        <w:t>2021届</w:t>
      </w:r>
      <w:r>
        <w:rPr>
          <w:rFonts w:hint="eastAsia"/>
        </w:rPr>
        <w:t>本科毕业生各</w:t>
      </w:r>
      <w:r>
        <w:t>专业</w:t>
      </w:r>
      <w:r>
        <w:rPr>
          <w:rFonts w:hint="eastAsia"/>
        </w:rPr>
        <w:t>毕业去向落实率</w:t>
      </w:r>
      <w:r>
        <w:t>分布</w:t>
      </w:r>
      <w:bookmarkEnd w:id="80"/>
      <w:bookmarkEnd w:id="81"/>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383"/>
        <w:gridCol w:w="1683"/>
        <w:gridCol w:w="1683"/>
        <w:gridCol w:w="225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毕业生人数</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已就业人数</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毕业去向落实率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网络与新媒体</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印刷工程</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44</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44</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机械电子工程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49</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47</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95.92%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英语</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92</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87</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94.57%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音乐表演</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96</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应用物理学</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29</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视觉传达设计</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76</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71</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93.42%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机械设计制造及其自动化</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105</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98</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康复治疗学</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56</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材料成型及控制工程</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44</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41</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产品设计</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29</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27</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93.10%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护理学</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100</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复合材料与工程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28</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电气工程及其自动化</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111</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92.79%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制药工程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92.59%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财务管理</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139</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127</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91.37%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物流管理</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34</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91.18%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数学与应用数学</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90.91%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计算机科学与技术</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116</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105</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90.52%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飞行器制造工程</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66</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90.41%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化学工程与工艺</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90.00%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信息管理与信息系统</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69</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62</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89.86%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广播电视编导</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88</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79</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89.77%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学前教育</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114</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102</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89.47%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汉语言文学</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128</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114</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89.06%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小学教育</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255</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227</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89.02%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过程装备与控制工程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22</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88.00%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口腔医学</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298</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262</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87.92%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植物科学与技术</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29</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87.88%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商务英语</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86.30%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食品科学与工程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51</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44</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86.27%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数字媒体技术</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38</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84.44%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生物工程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37</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82.22%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市场营销</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81.13%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物联网工程</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78</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76.92%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环境设计</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69</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76.81%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rPr>
              <w:t>工业设计</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rPr>
              <w:t>65.00%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bCs/>
                <w:color w:val="000000"/>
                <w:szCs w:val="21"/>
              </w:rPr>
              <w:t>总计</w:t>
            </w:r>
          </w:p>
        </w:tc>
        <w:tc>
          <w:tcPr>
            <w:tcW w:w="0" w:type="auto"/>
            <w:vAlign w:val="center"/>
          </w:tcPr>
          <w:p>
            <w:pPr>
              <w:spacing w:before="0"/>
              <w:jc w:val="center"/>
              <w:rPr>
                <w:rFonts w:ascii="Times New Roman" w:hAnsi="Times New Roman" w:cs="Times New Roman"/>
                <w:b/>
                <w:color w:val="000000"/>
                <w:szCs w:val="21"/>
              </w:rPr>
            </w:pPr>
            <w:r>
              <w:rPr>
                <w:rFonts w:ascii="Times New Roman" w:hAnsi="Times New Roman" w:cs="Times New Roman"/>
                <w:b/>
                <w:color w:val="000000"/>
                <w:szCs w:val="21"/>
              </w:rPr>
              <w:t>2888</w:t>
            </w:r>
          </w:p>
        </w:tc>
        <w:tc>
          <w:tcPr>
            <w:tcW w:w="0" w:type="auto"/>
            <w:vAlign w:val="center"/>
          </w:tcPr>
          <w:p>
            <w:pPr>
              <w:spacing w:before="0"/>
              <w:jc w:val="center"/>
              <w:rPr>
                <w:rFonts w:ascii="Times New Roman" w:hAnsi="Times New Roman" w:cs="Times New Roman"/>
                <w:b/>
                <w:color w:val="000000"/>
                <w:szCs w:val="21"/>
              </w:rPr>
            </w:pPr>
            <w:r>
              <w:rPr>
                <w:rFonts w:ascii="Times New Roman" w:hAnsi="Times New Roman" w:cs="Times New Roman"/>
                <w:b/>
                <w:color w:val="000000"/>
                <w:szCs w:val="21"/>
              </w:rPr>
              <w:t>2586</w:t>
            </w:r>
          </w:p>
        </w:tc>
        <w:tc>
          <w:tcPr>
            <w:tcW w:w="0" w:type="auto"/>
            <w:vAlign w:val="center"/>
          </w:tcPr>
          <w:p>
            <w:pPr>
              <w:spacing w:before="0"/>
              <w:jc w:val="center"/>
              <w:rPr>
                <w:rFonts w:ascii="Times New Roman" w:hAnsi="Times New Roman" w:cs="Times New Roman"/>
                <w:b/>
                <w:color w:val="000000"/>
                <w:szCs w:val="21"/>
              </w:rPr>
            </w:pPr>
            <w:r>
              <w:rPr>
                <w:rFonts w:ascii="Times New Roman" w:hAnsi="Times New Roman" w:cs="Times New Roman"/>
                <w:b/>
                <w:color w:val="000000"/>
                <w:szCs w:val="21"/>
              </w:rPr>
              <w:t>89.54%</w:t>
            </w:r>
          </w:p>
        </w:tc>
      </w:tr>
    </w:tbl>
    <w:p>
      <w:pPr>
        <w:pStyle w:val="118"/>
        <w:ind w:firstLine="360"/>
        <w:jc w:val="both"/>
        <w:rPr>
          <w:b/>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178"/>
        <w:spacing w:before="156"/>
        <w:ind w:firstLine="482"/>
      </w:pPr>
      <w:r>
        <w:rPr>
          <w:rFonts w:hint="eastAsia" w:cstheme="minorBidi"/>
          <w:b/>
          <w:color w:val="0F6FC6" w:themeColor="accent5"/>
          <w:szCs w:val="24"/>
          <w:lang w:val="en-US"/>
          <w14:textFill>
            <w14:solidFill>
              <w14:schemeClr w14:val="accent5"/>
            </w14:solidFill>
          </w14:textFill>
        </w:rPr>
        <w:t>专科毕业生</w:t>
      </w:r>
      <w:r>
        <w:rPr>
          <w:rFonts w:cstheme="minorBidi"/>
          <w:b/>
          <w:color w:val="0F6FC6" w:themeColor="accent5"/>
          <w:szCs w:val="24"/>
          <w:lang w:val="en-US"/>
          <w14:textFill>
            <w14:solidFill>
              <w14:schemeClr w14:val="accent5"/>
            </w14:solidFill>
          </w14:textFill>
        </w:rPr>
        <w:t>：</w:t>
      </w:r>
      <w:bookmarkStart w:id="82" w:name="_Toc521676293"/>
      <w:bookmarkStart w:id="83" w:name="_Toc521678799"/>
      <w:r>
        <w:rPr>
          <w:rFonts w:hint="eastAsia"/>
        </w:rPr>
        <w:t>学校2021届</w:t>
      </w:r>
      <w:r>
        <w:t>专科毕业生</w:t>
      </w:r>
      <w:r>
        <w:rPr>
          <w:rFonts w:hint="eastAsia"/>
        </w:rPr>
        <w:t>涉及14</w:t>
      </w:r>
      <w:r>
        <w:t>个专业，</w:t>
      </w:r>
      <w:r>
        <w:rPr>
          <w:rFonts w:hint="eastAsia"/>
        </w:rPr>
        <w:t>其中毕业去向落实率相对较高的专业为园林技术（100.00%）、数字图文信息技术（100.00%）、应用化工技术（100.00%）航空材料精密成型技术（1</w:t>
      </w:r>
      <w:r>
        <w:t>00.00</w:t>
      </w:r>
      <w:r>
        <w:rPr>
          <w:rFonts w:hint="eastAsia"/>
        </w:rPr>
        <w:t>%）、石油化工技术（1</w:t>
      </w:r>
      <w:r>
        <w:t>00.00</w:t>
      </w:r>
      <w:r>
        <w:rPr>
          <w:rFonts w:hint="eastAsia"/>
        </w:rPr>
        <w:t>%）等</w:t>
      </w:r>
      <w:r>
        <w:t>。</w:t>
      </w: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3</w:t>
      </w:r>
      <w:r>
        <w:fldChar w:fldCharType="end"/>
      </w:r>
      <w:r>
        <w:rPr>
          <w:rFonts w:hint="eastAsia"/>
        </w:rPr>
        <w:t xml:space="preserve">  </w:t>
      </w:r>
      <w:r>
        <w:rPr>
          <w:rFonts w:hint="eastAsia" w:eastAsia="宋体"/>
        </w:rPr>
        <w:t>2021</w:t>
      </w:r>
      <w:r>
        <w:rPr>
          <w:rFonts w:hint="eastAsia"/>
        </w:rPr>
        <w:t>届专科毕业生</w:t>
      </w:r>
      <w:r>
        <w:t>各专业毕业去向落实率分布</w:t>
      </w:r>
      <w:bookmarkEnd w:id="82"/>
      <w:bookmarkEnd w:id="83"/>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200"/>
        <w:gridCol w:w="1738"/>
        <w:gridCol w:w="1738"/>
        <w:gridCol w:w="232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lang w:val="zh-CN"/>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lang w:val="zh-CN"/>
              </w:rPr>
              <w:t>毕业生人数</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lang w:val="zh-CN"/>
              </w:rPr>
              <w:t>已就业人数</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lang w:val="zh-CN"/>
              </w:rPr>
              <w:t>毕业去向落实率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园林技术</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30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30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数字图文信息技术</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25</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25</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应用化工技术</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航空材料精密成型技术</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8</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8</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石油化工技术</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5</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5</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电气自动化技术</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51</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48</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94.12%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学前教育</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142</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133</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93.66%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护理</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91</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85</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93.41%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会计</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115</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107</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93.04%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临床医学</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199</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184</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92.46%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口腔医学</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648</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599</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92.44%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数控技术</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72</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66</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91.67%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语文教育</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187</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170</w:t>
            </w:r>
          </w:p>
        </w:tc>
        <w:tc>
          <w:tcPr>
            <w:tcW w:w="0" w:type="auto"/>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90.91%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Cs w:val="21"/>
                <w:lang w:val="zh-CN"/>
              </w:rPr>
              <w:t>计算机应用技术</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177</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160</w:t>
            </w:r>
          </w:p>
        </w:tc>
        <w:tc>
          <w:tcPr>
            <w:tcW w:w="0" w:type="auto"/>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Cs w:val="21"/>
                <w:lang w:val="zh-CN"/>
              </w:rPr>
              <w:t>90.40%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Cs w:val="21"/>
              </w:rPr>
            </w:pPr>
            <w:r>
              <w:rPr>
                <w:rFonts w:ascii="Times New Roman" w:hAnsi="Times New Roman" w:cs="Times New Roman"/>
                <w:b/>
                <w:bCs/>
                <w:color w:val="000000"/>
                <w:szCs w:val="21"/>
                <w:lang w:val="zh-CN"/>
              </w:rPr>
              <w:t>总计</w:t>
            </w:r>
          </w:p>
        </w:tc>
        <w:tc>
          <w:tcPr>
            <w:tcW w:w="0" w:type="auto"/>
            <w:shd w:val="clear" w:color="auto" w:fill="C7E2FA"/>
            <w:vAlign w:val="center"/>
          </w:tcPr>
          <w:p>
            <w:pPr>
              <w:spacing w:before="0"/>
              <w:jc w:val="center"/>
              <w:rPr>
                <w:rFonts w:ascii="Times New Roman" w:hAnsi="Times New Roman" w:cs="Times New Roman"/>
                <w:b/>
                <w:color w:val="000000"/>
                <w:szCs w:val="21"/>
              </w:rPr>
            </w:pPr>
            <w:r>
              <w:rPr>
                <w:rFonts w:ascii="Times New Roman" w:hAnsi="Times New Roman" w:cs="Times New Roman"/>
                <w:b/>
                <w:color w:val="000000"/>
                <w:szCs w:val="21"/>
                <w:lang w:val="zh-CN"/>
              </w:rPr>
              <w:t>1760</w:t>
            </w:r>
          </w:p>
        </w:tc>
        <w:tc>
          <w:tcPr>
            <w:tcW w:w="0" w:type="auto"/>
            <w:shd w:val="clear" w:color="auto" w:fill="C7E2FA"/>
            <w:vAlign w:val="center"/>
          </w:tcPr>
          <w:p>
            <w:pPr>
              <w:spacing w:before="0"/>
              <w:jc w:val="center"/>
              <w:rPr>
                <w:rFonts w:ascii="Times New Roman" w:hAnsi="Times New Roman" w:cs="Times New Roman"/>
                <w:b/>
                <w:color w:val="000000"/>
                <w:szCs w:val="21"/>
              </w:rPr>
            </w:pPr>
            <w:r>
              <w:rPr>
                <w:rFonts w:ascii="Times New Roman" w:hAnsi="Times New Roman" w:cs="Times New Roman"/>
                <w:b/>
                <w:color w:val="000000"/>
                <w:szCs w:val="21"/>
                <w:lang w:val="zh-CN"/>
              </w:rPr>
              <w:t>1630</w:t>
            </w:r>
          </w:p>
        </w:tc>
        <w:tc>
          <w:tcPr>
            <w:tcW w:w="0" w:type="auto"/>
            <w:shd w:val="clear" w:color="auto" w:fill="C7E2FA"/>
            <w:vAlign w:val="center"/>
          </w:tcPr>
          <w:p>
            <w:pPr>
              <w:spacing w:before="0"/>
              <w:jc w:val="center"/>
              <w:rPr>
                <w:rFonts w:ascii="Times New Roman" w:hAnsi="Times New Roman" w:cs="Times New Roman"/>
                <w:b/>
                <w:color w:val="000000"/>
                <w:szCs w:val="21"/>
              </w:rPr>
            </w:pPr>
            <w:r>
              <w:rPr>
                <w:rFonts w:ascii="Times New Roman" w:hAnsi="Times New Roman" w:cs="Times New Roman"/>
                <w:b/>
                <w:color w:val="000000"/>
                <w:szCs w:val="21"/>
                <w:lang w:val="zh-CN"/>
              </w:rPr>
              <w:t>92.61%</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151"/>
        <w:rPr>
          <w:color w:val="0F6FC6" w:themeColor="accent5"/>
          <w14:textFill>
            <w14:solidFill>
              <w14:schemeClr w14:val="accent5"/>
            </w14:solidFill>
          </w14:textFill>
        </w:rPr>
      </w:pPr>
      <w:bookmarkStart w:id="84" w:name="_Toc92706717"/>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不同</w:t>
      </w:r>
      <w:r>
        <w:rPr>
          <w:color w:val="0F6FC6" w:themeColor="accent5"/>
          <w14:textFill>
            <w14:solidFill>
              <w14:schemeClr w14:val="accent5"/>
            </w14:solidFill>
          </w14:textFill>
        </w:rPr>
        <w:t>特征群体毕业去向落实率</w:t>
      </w:r>
      <w:bookmarkEnd w:id="84"/>
    </w:p>
    <w:p>
      <w:pPr>
        <w:pStyle w:val="178"/>
        <w:spacing w:before="156"/>
        <w:ind w:firstLine="482"/>
      </w:pPr>
      <w:r>
        <w:rPr>
          <w:rFonts w:hint="eastAsia"/>
          <w:b/>
          <w:color w:val="0F6FC6" w:themeColor="accent5"/>
          <w14:textFill>
            <w14:solidFill>
              <w14:schemeClr w14:val="accent5"/>
            </w14:solidFill>
          </w14:textFill>
        </w:rPr>
        <w:t>性别</w:t>
      </w:r>
      <w:r>
        <w:rPr>
          <w:b/>
          <w:color w:val="0F6FC6" w:themeColor="accent5"/>
          <w14:textFill>
            <w14:solidFill>
              <w14:schemeClr w14:val="accent5"/>
            </w14:solidFill>
          </w14:textFill>
        </w:rPr>
        <w:t>：</w:t>
      </w:r>
      <w:r>
        <w:rPr>
          <w:rFonts w:hint="eastAsia"/>
        </w:rPr>
        <w:t>本科毕业生中，男生、女生</w:t>
      </w:r>
      <w:r>
        <w:t>毕业去向落实率</w:t>
      </w:r>
      <w:r>
        <w:rPr>
          <w:rFonts w:hint="eastAsia"/>
        </w:rPr>
        <w:t>分别为8</w:t>
      </w:r>
      <w:r>
        <w:t>8.06%</w:t>
      </w:r>
      <w:r>
        <w:rPr>
          <w:rFonts w:hint="eastAsia"/>
        </w:rPr>
        <w:t>、</w:t>
      </w:r>
      <w:r>
        <w:t>90.59%</w:t>
      </w:r>
      <w:r>
        <w:rPr>
          <w:rFonts w:hint="eastAsia"/>
        </w:rPr>
        <w:t>。专科毕业生中，男生、女生</w:t>
      </w:r>
      <w:r>
        <w:t>毕业去向落实率</w:t>
      </w:r>
      <w:r>
        <w:rPr>
          <w:rFonts w:hint="eastAsia"/>
        </w:rPr>
        <w:t>分别为</w:t>
      </w:r>
      <w:r>
        <w:t>93.08%</w:t>
      </w:r>
      <w:r>
        <w:rPr>
          <w:rFonts w:hint="eastAsia"/>
        </w:rPr>
        <w:t>、</w:t>
      </w:r>
      <w:r>
        <w:t>92.37%</w:t>
      </w:r>
      <w:r>
        <w:rPr>
          <w:rFonts w:hint="eastAsia"/>
        </w:rPr>
        <w:t>。具体毕业去向落实率详见下表</w:t>
      </w:r>
      <w:r>
        <w:t>。</w:t>
      </w:r>
    </w:p>
    <w:p>
      <w:pPr>
        <w:pStyle w:val="180"/>
      </w:pPr>
      <w:bookmarkStart w:id="85" w:name="_Toc521676294"/>
      <w:bookmarkStart w:id="86" w:name="_Toc521678800"/>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4</w:t>
      </w:r>
      <w:r>
        <w:fldChar w:fldCharType="end"/>
      </w:r>
      <w:r>
        <w:t xml:space="preserve">  2021届不同性别</w:t>
      </w:r>
      <w:r>
        <w:rPr>
          <w:rFonts w:hint="eastAsia"/>
        </w:rPr>
        <w:t>毕业生毕业去向落实率分布</w:t>
      </w:r>
      <w:bookmarkEnd w:id="85"/>
      <w:bookmarkEnd w:id="86"/>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295"/>
        <w:gridCol w:w="1205"/>
        <w:gridCol w:w="1092"/>
        <w:gridCol w:w="1205"/>
        <w:gridCol w:w="998"/>
        <w:gridCol w:w="1313"/>
        <w:gridCol w:w="896"/>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7" w:type="pct"/>
            <w:vMerge w:val="restart"/>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性别</w:t>
            </w:r>
          </w:p>
        </w:tc>
        <w:tc>
          <w:tcPr>
            <w:tcW w:w="1281" w:type="pct"/>
            <w:gridSpan w:val="2"/>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本科毕业生</w:t>
            </w:r>
          </w:p>
        </w:tc>
        <w:tc>
          <w:tcPr>
            <w:tcW w:w="1229" w:type="pct"/>
            <w:gridSpan w:val="2"/>
            <w:tcBorders>
              <w:top w:val="single" w:color="0F6FC6" w:sz="4" w:space="0"/>
              <w:left w:val="single" w:color="0F6FC6" w:themeColor="accent1" w:sz="4" w:space="0"/>
              <w:bottom w:val="single" w:color="0F6FC6" w:sz="4" w:space="0"/>
              <w:right w:val="nil"/>
              <w:insideH w:val="single" w:sz="4" w:space="0"/>
              <w:insideV w:val="nil"/>
            </w:tcBorders>
            <w:shd w:val="clear" w:color="auto" w:fill="0F6FC6"/>
            <w:noWrap/>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专科毕业生</w:t>
            </w:r>
          </w:p>
        </w:tc>
        <w:tc>
          <w:tcPr>
            <w:tcW w:w="1213" w:type="pct"/>
            <w:gridSpan w:val="2"/>
            <w:tcBorders>
              <w:top w:val="single" w:color="0F6FC6" w:sz="4" w:space="0"/>
              <w:left w:val="single" w:color="0F6FC6" w:themeColor="accent1"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7" w:type="pct"/>
            <w:vMerge w:val="continue"/>
            <w:tcBorders>
              <w:top w:val="single" w:color="0F6FC6" w:themeColor="accent1" w:sz="4" w:space="0"/>
              <w:left w:val="single" w:color="0F6FC6" w:themeColor="accent1" w:sz="4" w:space="0"/>
              <w:bottom w:val="single" w:color="0F6FC6" w:themeColor="accent1" w:sz="4" w:space="0"/>
              <w:right w:val="single" w:color="0F6FC6" w:themeColor="accent1" w:sz="4" w:space="0"/>
            </w:tcBorders>
            <w:shd w:val="clear" w:color="auto" w:fill="C7E2FA"/>
            <w:noWrap/>
            <w:vAlign w:val="center"/>
          </w:tcPr>
          <w:p>
            <w:pPr>
              <w:spacing w:before="0"/>
              <w:jc w:val="center"/>
              <w:rPr>
                <w:rFonts w:ascii="Times New Roman" w:hAnsi="Times New Roman" w:cs="Times New Roman"/>
                <w:b w:val="0"/>
                <w:bCs/>
                <w:szCs w:val="21"/>
              </w:rPr>
            </w:pPr>
          </w:p>
        </w:tc>
        <w:tc>
          <w:tcPr>
            <w:tcW w:w="672" w:type="pct"/>
            <w:tcBorders>
              <w:top w:val="single" w:color="0F6FC6" w:themeColor="accent1" w:sz="4" w:space="0"/>
              <w:left w:val="single" w:color="0F6FC6" w:themeColor="accent1" w:sz="4" w:space="0"/>
            </w:tcBorders>
            <w:shd w:val="clear" w:color="auto" w:fill="C7E2FA"/>
            <w:noWrap/>
            <w:vAlign w:val="center"/>
          </w:tcPr>
          <w:p>
            <w:pPr>
              <w:spacing w:before="0"/>
              <w:jc w:val="center"/>
              <w:rPr>
                <w:rFonts w:ascii="Times New Roman" w:hAnsi="Times New Roman" w:cs="Times New Roman"/>
                <w:b/>
                <w:bCs/>
                <w:color w:val="FFFFFF" w:themeColor="background1"/>
                <w:szCs w:val="21"/>
                <w14:textFill>
                  <w14:solidFill>
                    <w14:schemeClr w14:val="bg1"/>
                  </w14:solidFill>
                </w14:textFill>
              </w:rPr>
            </w:pPr>
            <w:r>
              <w:rPr>
                <w:rFonts w:hint="eastAsia" w:ascii="Times New Roman" w:hAnsi="Times New Roman" w:cs="Times New Roman"/>
                <w:b/>
                <w:bCs/>
                <w:color w:val="FFFFFF" w:themeColor="background1"/>
                <w:szCs w:val="21"/>
                <w14:textFill>
                  <w14:solidFill>
                    <w14:schemeClr w14:val="bg1"/>
                  </w14:solidFill>
                </w14:textFill>
              </w:rPr>
              <w:t>就业</w:t>
            </w:r>
            <w:r>
              <w:rPr>
                <w:rFonts w:ascii="Times New Roman" w:hAnsi="Times New Roman" w:cs="Times New Roman"/>
                <w:b/>
                <w:bCs/>
                <w:color w:val="FFFFFF" w:themeColor="background1"/>
                <w:szCs w:val="21"/>
                <w14:textFill>
                  <w14:solidFill>
                    <w14:schemeClr w14:val="bg1"/>
                  </w14:solidFill>
                </w14:textFill>
              </w:rPr>
              <w:t>人数</w:t>
            </w:r>
          </w:p>
        </w:tc>
        <w:tc>
          <w:tcPr>
            <w:tcW w:w="609" w:type="pct"/>
            <w:tcBorders>
              <w:top w:val="single" w:color="0F6FC6" w:themeColor="accent1" w:sz="4" w:space="0"/>
            </w:tcBorders>
            <w:shd w:val="clear" w:color="auto" w:fill="C7E2FA"/>
            <w:noWrap/>
            <w:vAlign w:val="center"/>
          </w:tcPr>
          <w:p>
            <w:pPr>
              <w:spacing w:before="0"/>
              <w:jc w:val="center"/>
              <w:rPr>
                <w:rFonts w:ascii="Times New Roman" w:hAnsi="Times New Roman" w:cs="Times New Roman"/>
                <w:b/>
                <w:bCs/>
                <w:color w:val="FFFFFF" w:themeColor="background1"/>
                <w:szCs w:val="21"/>
                <w14:textFill>
                  <w14:solidFill>
                    <w14:schemeClr w14:val="bg1"/>
                  </w14:solidFill>
                </w14:textFill>
              </w:rPr>
            </w:pPr>
            <w:r>
              <w:rPr>
                <w:rFonts w:ascii="Times New Roman" w:hAnsi="Times New Roman" w:cs="Times New Roman"/>
                <w:b/>
                <w:bCs/>
                <w:color w:val="FFFFFF" w:themeColor="background1"/>
                <w:szCs w:val="21"/>
                <w14:textFill>
                  <w14:solidFill>
                    <w14:schemeClr w14:val="bg1"/>
                  </w14:solidFill>
                </w14:textFill>
              </w:rPr>
              <w:t>占比</w:t>
            </w:r>
          </w:p>
        </w:tc>
        <w:tc>
          <w:tcPr>
            <w:tcW w:w="672" w:type="pct"/>
            <w:shd w:val="clear" w:color="auto" w:fill="C7E2FA"/>
            <w:noWrap/>
            <w:vAlign w:val="center"/>
          </w:tcPr>
          <w:p>
            <w:pPr>
              <w:spacing w:before="0"/>
              <w:jc w:val="center"/>
              <w:rPr>
                <w:rFonts w:ascii="Times New Roman" w:hAnsi="Times New Roman" w:cs="Times New Roman"/>
                <w:b/>
                <w:bCs/>
                <w:color w:val="FFFFFF" w:themeColor="background1"/>
                <w:szCs w:val="21"/>
                <w14:textFill>
                  <w14:solidFill>
                    <w14:schemeClr w14:val="bg1"/>
                  </w14:solidFill>
                </w14:textFill>
              </w:rPr>
            </w:pPr>
            <w:r>
              <w:rPr>
                <w:rFonts w:hint="eastAsia" w:ascii="Times New Roman" w:hAnsi="Times New Roman" w:cs="Times New Roman"/>
                <w:b/>
                <w:bCs/>
                <w:color w:val="FFFFFF" w:themeColor="background1"/>
                <w:szCs w:val="21"/>
                <w14:textFill>
                  <w14:solidFill>
                    <w14:schemeClr w14:val="bg1"/>
                  </w14:solidFill>
                </w14:textFill>
              </w:rPr>
              <w:t>就业</w:t>
            </w:r>
            <w:r>
              <w:rPr>
                <w:rFonts w:ascii="Times New Roman" w:hAnsi="Times New Roman" w:cs="Times New Roman"/>
                <w:b/>
                <w:bCs/>
                <w:color w:val="FFFFFF" w:themeColor="background1"/>
                <w:szCs w:val="21"/>
                <w14:textFill>
                  <w14:solidFill>
                    <w14:schemeClr w14:val="bg1"/>
                  </w14:solidFill>
                </w14:textFill>
              </w:rPr>
              <w:t>人数</w:t>
            </w:r>
          </w:p>
        </w:tc>
        <w:tc>
          <w:tcPr>
            <w:tcW w:w="557" w:type="pct"/>
            <w:shd w:val="clear" w:color="auto" w:fill="C7E2FA"/>
            <w:noWrap/>
            <w:vAlign w:val="center"/>
          </w:tcPr>
          <w:p>
            <w:pPr>
              <w:spacing w:before="0"/>
              <w:jc w:val="center"/>
              <w:rPr>
                <w:rFonts w:ascii="Times New Roman" w:hAnsi="Times New Roman" w:cs="Times New Roman"/>
                <w:b/>
                <w:bCs/>
                <w:color w:val="FFFFFF" w:themeColor="background1"/>
                <w:szCs w:val="21"/>
                <w14:textFill>
                  <w14:solidFill>
                    <w14:schemeClr w14:val="bg1"/>
                  </w14:solidFill>
                </w14:textFill>
              </w:rPr>
            </w:pPr>
            <w:r>
              <w:rPr>
                <w:rFonts w:ascii="Times New Roman" w:hAnsi="Times New Roman" w:cs="Times New Roman"/>
                <w:b/>
                <w:bCs/>
                <w:color w:val="FFFFFF" w:themeColor="background1"/>
                <w:szCs w:val="21"/>
                <w14:textFill>
                  <w14:solidFill>
                    <w14:schemeClr w14:val="bg1"/>
                  </w14:solidFill>
                </w14:textFill>
              </w:rPr>
              <w:t>占比</w:t>
            </w:r>
          </w:p>
        </w:tc>
        <w:tc>
          <w:tcPr>
            <w:tcW w:w="732" w:type="pct"/>
            <w:shd w:val="clear" w:color="auto" w:fill="C7E2FA"/>
            <w:vAlign w:val="center"/>
          </w:tcPr>
          <w:p>
            <w:pPr>
              <w:spacing w:before="0"/>
              <w:jc w:val="center"/>
              <w:rPr>
                <w:rFonts w:ascii="Times New Roman" w:hAnsi="Times New Roman" w:cs="Times New Roman"/>
                <w:b/>
                <w:bCs/>
                <w:color w:val="FFFFFF" w:themeColor="background1"/>
                <w:szCs w:val="21"/>
                <w14:textFill>
                  <w14:solidFill>
                    <w14:schemeClr w14:val="bg1"/>
                  </w14:solidFill>
                </w14:textFill>
              </w:rPr>
            </w:pPr>
            <w:r>
              <w:rPr>
                <w:rFonts w:hint="eastAsia" w:ascii="Times New Roman" w:hAnsi="Times New Roman" w:cs="Times New Roman"/>
                <w:b/>
                <w:bCs/>
                <w:color w:val="FFFFFF" w:themeColor="background1"/>
                <w:szCs w:val="21"/>
                <w14:textFill>
                  <w14:solidFill>
                    <w14:schemeClr w14:val="bg1"/>
                  </w14:solidFill>
                </w14:textFill>
              </w:rPr>
              <w:t>就业</w:t>
            </w:r>
            <w:r>
              <w:rPr>
                <w:rFonts w:ascii="Times New Roman" w:hAnsi="Times New Roman" w:cs="Times New Roman"/>
                <w:b/>
                <w:bCs/>
                <w:color w:val="FFFFFF" w:themeColor="background1"/>
                <w:szCs w:val="21"/>
                <w14:textFill>
                  <w14:solidFill>
                    <w14:schemeClr w14:val="bg1"/>
                  </w14:solidFill>
                </w14:textFill>
              </w:rPr>
              <w:t>人数</w:t>
            </w:r>
          </w:p>
        </w:tc>
        <w:tc>
          <w:tcPr>
            <w:tcW w:w="481" w:type="pct"/>
            <w:shd w:val="clear" w:color="auto" w:fill="C7E2FA"/>
            <w:vAlign w:val="center"/>
          </w:tcPr>
          <w:p>
            <w:pPr>
              <w:spacing w:before="0"/>
              <w:jc w:val="center"/>
              <w:rPr>
                <w:rFonts w:ascii="Times New Roman" w:hAnsi="Times New Roman" w:cs="Times New Roman"/>
                <w:b/>
                <w:bCs/>
                <w:color w:val="FFFFFF" w:themeColor="background1"/>
                <w:szCs w:val="21"/>
                <w14:textFill>
                  <w14:solidFill>
                    <w14:schemeClr w14:val="bg1"/>
                  </w14:solidFill>
                </w14:textFill>
              </w:rPr>
            </w:pPr>
            <w:r>
              <w:rPr>
                <w:rFonts w:ascii="Times New Roman" w:hAnsi="Times New Roman" w:cs="Times New Roman"/>
                <w:b/>
                <w:bCs/>
                <w:color w:val="FFFFFF" w:themeColor="background1"/>
                <w:szCs w:val="21"/>
                <w14:textFill>
                  <w14:solidFill>
                    <w14:schemeClr w14:val="bg1"/>
                  </w14:solidFill>
                </w14:textFill>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7" w:type="pct"/>
            <w:tcBorders>
              <w:top w:val="single" w:color="0F6FC6" w:themeColor="accent1" w:sz="4" w:space="0"/>
            </w:tcBorders>
            <w:noWrap/>
            <w:vAlign w:val="center"/>
          </w:tcPr>
          <w:p>
            <w:pPr>
              <w:spacing w:before="0"/>
              <w:jc w:val="center"/>
              <w:rPr>
                <w:rFonts w:ascii="Times New Roman" w:hAnsi="Times New Roman" w:cs="Times New Roman"/>
                <w:b w:val="0"/>
                <w:bCs/>
                <w:color w:val="000000"/>
                <w:szCs w:val="21"/>
              </w:rPr>
            </w:pPr>
            <w:r>
              <w:rPr>
                <w:rFonts w:ascii="Times New Roman" w:hAnsi="Times New Roman" w:cs="Times New Roman"/>
                <w:b w:val="0"/>
                <w:bCs/>
                <w:color w:val="000000"/>
                <w:szCs w:val="21"/>
              </w:rPr>
              <w:t>男</w:t>
            </w:r>
          </w:p>
        </w:tc>
        <w:tc>
          <w:tcPr>
            <w:tcW w:w="672" w:type="pct"/>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1055</w:t>
            </w:r>
          </w:p>
        </w:tc>
        <w:tc>
          <w:tcPr>
            <w:tcW w:w="609" w:type="pct"/>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88.06%</w:t>
            </w:r>
          </w:p>
        </w:tc>
        <w:tc>
          <w:tcPr>
            <w:tcW w:w="672" w:type="pct"/>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565</w:t>
            </w:r>
          </w:p>
        </w:tc>
        <w:tc>
          <w:tcPr>
            <w:tcW w:w="557" w:type="pct"/>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93.08%</w:t>
            </w:r>
          </w:p>
        </w:tc>
        <w:tc>
          <w:tcPr>
            <w:tcW w:w="732" w:type="pct"/>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1620</w:t>
            </w:r>
          </w:p>
        </w:tc>
        <w:tc>
          <w:tcPr>
            <w:tcW w:w="481" w:type="pct"/>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89.75%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7" w:type="pct"/>
            <w:shd w:val="clear" w:color="auto" w:fill="C7E2FA"/>
            <w:noWrap/>
            <w:vAlign w:val="center"/>
          </w:tcPr>
          <w:p>
            <w:pPr>
              <w:spacing w:before="0"/>
              <w:jc w:val="center"/>
              <w:rPr>
                <w:rFonts w:ascii="Times New Roman" w:hAnsi="Times New Roman" w:cs="Times New Roman"/>
                <w:b w:val="0"/>
                <w:bCs/>
                <w:color w:val="000000"/>
                <w:szCs w:val="21"/>
              </w:rPr>
            </w:pPr>
            <w:r>
              <w:rPr>
                <w:rFonts w:ascii="Times New Roman" w:hAnsi="Times New Roman" w:cs="Times New Roman"/>
                <w:b w:val="0"/>
                <w:bCs/>
                <w:color w:val="000000"/>
                <w:szCs w:val="21"/>
              </w:rPr>
              <w:t>女</w:t>
            </w:r>
          </w:p>
        </w:tc>
        <w:tc>
          <w:tcPr>
            <w:tcW w:w="672" w:type="pct"/>
            <w:shd w:val="clear" w:color="auto" w:fill="C7E2FA"/>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1531</w:t>
            </w:r>
          </w:p>
        </w:tc>
        <w:tc>
          <w:tcPr>
            <w:tcW w:w="609" w:type="pct"/>
            <w:shd w:val="clear" w:color="auto" w:fill="C7E2FA"/>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90.59%</w:t>
            </w:r>
          </w:p>
        </w:tc>
        <w:tc>
          <w:tcPr>
            <w:tcW w:w="672" w:type="pct"/>
            <w:shd w:val="clear" w:color="auto" w:fill="C7E2FA"/>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1065</w:t>
            </w:r>
          </w:p>
        </w:tc>
        <w:tc>
          <w:tcPr>
            <w:tcW w:w="557" w:type="pct"/>
            <w:shd w:val="clear" w:color="auto" w:fill="C7E2FA"/>
            <w:noWrap/>
            <w:vAlign w:val="center"/>
          </w:tcPr>
          <w:p>
            <w:pPr>
              <w:spacing w:before="100"/>
              <w:jc w:val="center"/>
              <w:rPr>
                <w:rFonts w:ascii="Times New Roman" w:hAnsi="Times New Roman" w:cs="Times New Roman"/>
                <w:color w:val="000000"/>
                <w:sz w:val="22"/>
                <w:szCs w:val="22"/>
              </w:rPr>
            </w:pPr>
            <w:r>
              <w:rPr>
                <w:rFonts w:ascii="Times New Roman" w:hAnsi="Times New Roman" w:cs="Times New Roman"/>
                <w:color w:val="000000"/>
                <w:sz w:val="22"/>
                <w:szCs w:val="22"/>
              </w:rPr>
              <w:t>92.37%</w:t>
            </w:r>
          </w:p>
        </w:tc>
        <w:tc>
          <w:tcPr>
            <w:tcW w:w="732" w:type="pct"/>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2596</w:t>
            </w:r>
          </w:p>
        </w:tc>
        <w:tc>
          <w:tcPr>
            <w:tcW w:w="481" w:type="pct"/>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91.31%</w:t>
            </w:r>
          </w:p>
        </w:tc>
      </w:tr>
    </w:tbl>
    <w:p>
      <w:pPr>
        <w:pStyle w:val="63"/>
        <w:spacing w:beforeLines="0" w:after="156"/>
        <w:ind w:firstLine="360"/>
        <w:rPr>
          <w:color w:val="0F6FC6" w:themeColor="accent5"/>
          <w:sz w:val="18"/>
          <w:szCs w:val="18"/>
          <w14:textFill>
            <w14:solidFill>
              <w14:schemeClr w14:val="accent5"/>
            </w14:solidFill>
          </w14:textFill>
        </w:rPr>
      </w:pPr>
      <w:r>
        <w:rPr>
          <w:rFonts w:hint="eastAsia"/>
          <w:color w:val="0F6FC6" w:themeColor="accent5"/>
          <w:sz w:val="18"/>
          <w:szCs w:val="18"/>
          <w14:textFill>
            <w14:solidFill>
              <w14:schemeClr w14:val="accent5"/>
            </w14:solidFill>
          </w14:textFill>
        </w:rPr>
        <w:t>数据来源：湖北省高校毕业生就业办公系统。</w:t>
      </w:r>
    </w:p>
    <w:p>
      <w:pPr>
        <w:pStyle w:val="178"/>
        <w:spacing w:before="156"/>
        <w:ind w:firstLine="482"/>
      </w:pPr>
      <w:r>
        <w:rPr>
          <w:rFonts w:hint="eastAsia"/>
          <w:b/>
          <w:color w:val="0F6FC6" w:themeColor="accent5"/>
          <w14:textFill>
            <w14:solidFill>
              <w14:schemeClr w14:val="accent5"/>
            </w14:solidFill>
          </w14:textFill>
        </w:rPr>
        <w:t>民族：</w:t>
      </w:r>
      <w:r>
        <w:rPr>
          <w:rFonts w:hint="eastAsia"/>
        </w:rPr>
        <w:t>2</w:t>
      </w:r>
      <w:r>
        <w:rPr>
          <w:lang w:val="en-US"/>
        </w:rPr>
        <w:t>021</w:t>
      </w:r>
      <w:r>
        <w:rPr>
          <w:rFonts w:hint="eastAsia"/>
          <w:lang w:val="en-US"/>
        </w:rPr>
        <w:t>届汉族毕业生毕业去向落实率为9</w:t>
      </w:r>
      <w:r>
        <w:rPr>
          <w:lang w:val="en-US"/>
        </w:rPr>
        <w:t>0.87%</w:t>
      </w:r>
      <w:r>
        <w:rPr>
          <w:rFonts w:hint="eastAsia"/>
          <w:lang w:val="en-US"/>
        </w:rPr>
        <w:t>；</w:t>
      </w:r>
      <w:r>
        <w:rPr>
          <w:rFonts w:hint="eastAsia"/>
        </w:rPr>
        <w:t>少数民族毕业生中，仡佬族、傣族、水族、瑶族等8个少数民族</w:t>
      </w:r>
      <w:r>
        <w:t>毕业去向落实率</w:t>
      </w:r>
      <w:r>
        <w:rPr>
          <w:rFonts w:hint="eastAsia"/>
        </w:rPr>
        <w:t>均达到1</w:t>
      </w:r>
      <w:r>
        <w:t>00.00%</w:t>
      </w:r>
      <w:r>
        <w:rPr>
          <w:rFonts w:hint="eastAsia"/>
        </w:rPr>
        <w:t>。具体毕业去向落实率详见下表</w:t>
      </w:r>
      <w:r>
        <w:t>。</w:t>
      </w:r>
    </w:p>
    <w:p>
      <w:pPr>
        <w:pStyle w:val="180"/>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5</w:t>
      </w:r>
      <w:r>
        <w:fldChar w:fldCharType="end"/>
      </w:r>
      <w:r>
        <w:t xml:space="preserve">  2021届</w:t>
      </w:r>
      <w:r>
        <w:rPr>
          <w:rFonts w:hint="eastAsia"/>
        </w:rPr>
        <w:t>不同民族毕业生</w:t>
      </w:r>
      <w:r>
        <w:t>毕业去向落实率</w:t>
      </w:r>
      <w:r>
        <w:rPr>
          <w:rFonts w:hint="eastAsia"/>
        </w:rPr>
        <w:t>分</w:t>
      </w:r>
      <w:r>
        <w:t>布</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299"/>
        <w:gridCol w:w="1210"/>
        <w:gridCol w:w="1097"/>
        <w:gridCol w:w="1210"/>
        <w:gridCol w:w="1012"/>
        <w:gridCol w:w="1163"/>
        <w:gridCol w:w="101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vMerge w:val="restart"/>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民族</w:t>
            </w:r>
          </w:p>
        </w:tc>
        <w:tc>
          <w:tcPr>
            <w:tcW w:w="1281" w:type="pct"/>
            <w:gridSpan w:val="2"/>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本科毕业生</w:t>
            </w:r>
          </w:p>
        </w:tc>
        <w:tc>
          <w:tcPr>
            <w:tcW w:w="1234" w:type="pct"/>
            <w:gridSpan w:val="2"/>
            <w:tcBorders>
              <w:top w:val="single" w:color="0F6FC6" w:sz="4" w:space="0"/>
              <w:left w:val="single" w:color="0F6FC6" w:themeColor="accent1" w:sz="4" w:space="0"/>
              <w:bottom w:val="single" w:color="0F6FC6" w:sz="4" w:space="0"/>
              <w:right w:val="nil"/>
              <w:insideH w:val="single" w:sz="4" w:space="0"/>
              <w:insideV w:val="nil"/>
            </w:tcBorders>
            <w:shd w:val="clear" w:color="auto" w:fill="0F6FC6"/>
            <w:noWrap/>
            <w:vAlign w:val="center"/>
          </w:tcPr>
          <w:p>
            <w:pPr>
              <w:pStyle w:val="185"/>
              <w:spacing w:before="100"/>
              <w:rPr>
                <w:rFonts w:cs="Times New Roman"/>
                <w:b/>
                <w:bCs w:val="0"/>
                <w:color w:val="FFFFFF"/>
              </w:rPr>
            </w:pPr>
            <w:r>
              <w:rPr>
                <w:rFonts w:cs="Times New Roman"/>
                <w:b/>
                <w:bCs w:val="0"/>
                <w:color w:val="FFFFFF"/>
              </w:rPr>
              <w:t>专科毕业生</w:t>
            </w:r>
          </w:p>
        </w:tc>
        <w:tc>
          <w:tcPr>
            <w:tcW w:w="1208" w:type="pct"/>
            <w:gridSpan w:val="2"/>
            <w:tcBorders>
              <w:top w:val="single" w:color="0F6FC6" w:sz="4" w:space="0"/>
              <w:left w:val="single" w:color="0F6FC6" w:themeColor="accent1" w:sz="4" w:space="0"/>
              <w:bottom w:val="single" w:color="0F6FC6" w:sz="4" w:space="0"/>
              <w:right w:val="single" w:color="0F6FC6" w:sz="4" w:space="0"/>
              <w:insideH w:val="single" w:sz="4" w:space="0"/>
              <w:insideV w:val="nil"/>
            </w:tcBorders>
            <w:shd w:val="clear" w:color="auto" w:fill="0F6FC6"/>
            <w:vAlign w:val="center"/>
          </w:tcPr>
          <w:p>
            <w:pPr>
              <w:pStyle w:val="185"/>
              <w:spacing w:before="100"/>
              <w:rPr>
                <w:rFonts w:cs="Times New Roman"/>
                <w:b/>
                <w:bCs w:val="0"/>
                <w:color w:val="FFFFFF"/>
              </w:rPr>
            </w:pPr>
            <w:r>
              <w:rPr>
                <w:rFonts w:cs="Times New Roman"/>
                <w:b/>
                <w:bCs w:val="0"/>
                <w:color w:val="FFFFFF"/>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vMerge w:val="continue"/>
            <w:tcBorders>
              <w:top w:val="single" w:color="0F6FC6" w:themeColor="accent1" w:sz="4" w:space="0"/>
              <w:left w:val="single" w:color="0F6FC6" w:themeColor="accent1" w:sz="4" w:space="0"/>
              <w:bottom w:val="single" w:color="0F6FC6" w:themeColor="accent1" w:sz="4" w:space="0"/>
              <w:right w:val="single" w:color="0F6FC6" w:themeColor="accent1" w:sz="4" w:space="0"/>
            </w:tcBorders>
            <w:shd w:val="clear" w:color="auto" w:fill="C7E2FA"/>
            <w:noWrap/>
            <w:vAlign w:val="center"/>
          </w:tcPr>
          <w:p>
            <w:pPr>
              <w:pStyle w:val="185"/>
              <w:spacing w:before="100"/>
              <w:rPr>
                <w:rFonts w:cs="Times New Roman"/>
                <w:b w:val="0"/>
                <w:bCs w:val="0"/>
              </w:rPr>
            </w:pPr>
          </w:p>
        </w:tc>
        <w:tc>
          <w:tcPr>
            <w:tcW w:w="672" w:type="pct"/>
            <w:tcBorders>
              <w:top w:val="single" w:color="0F6FC6" w:themeColor="accent1" w:sz="4" w:space="0"/>
              <w:left w:val="single" w:color="0F6FC6" w:themeColor="accent1" w:sz="4" w:space="0"/>
            </w:tcBorders>
            <w:shd w:val="clear" w:color="auto" w:fill="C7E2FA"/>
            <w:noWrap/>
            <w:vAlign w:val="center"/>
          </w:tcPr>
          <w:p>
            <w:pPr>
              <w:pStyle w:val="185"/>
              <w:spacing w:before="100"/>
              <w:rPr>
                <w:rFonts w:cs="Times New Roman"/>
                <w:b/>
                <w:color w:val="FFFFFF" w:themeColor="background1"/>
                <w14:textFill>
                  <w14:solidFill>
                    <w14:schemeClr w14:val="bg1"/>
                  </w14:solidFill>
                </w14:textFill>
              </w:rPr>
            </w:pPr>
            <w:r>
              <w:rPr>
                <w:rFonts w:hint="eastAsia" w:cs="Times New Roman"/>
                <w:b/>
                <w:color w:val="FFFFFF" w:themeColor="background1"/>
                <w14:textFill>
                  <w14:solidFill>
                    <w14:schemeClr w14:val="bg1"/>
                  </w14:solidFill>
                </w14:textFill>
              </w:rPr>
              <w:t>就业</w:t>
            </w:r>
            <w:r>
              <w:rPr>
                <w:rFonts w:cs="Times New Roman"/>
                <w:b/>
                <w:color w:val="FFFFFF" w:themeColor="background1"/>
                <w14:textFill>
                  <w14:solidFill>
                    <w14:schemeClr w14:val="bg1"/>
                  </w14:solidFill>
                </w14:textFill>
              </w:rPr>
              <w:t>人数</w:t>
            </w:r>
          </w:p>
        </w:tc>
        <w:tc>
          <w:tcPr>
            <w:tcW w:w="609" w:type="pct"/>
            <w:tcBorders>
              <w:top w:val="single" w:color="0F6FC6" w:themeColor="accent1" w:sz="4" w:space="0"/>
            </w:tcBorders>
            <w:shd w:val="clear" w:color="auto" w:fill="C7E2FA"/>
            <w:noWrap/>
            <w:vAlign w:val="center"/>
          </w:tcPr>
          <w:p>
            <w:pPr>
              <w:pStyle w:val="185"/>
              <w:spacing w:before="100"/>
              <w:rPr>
                <w:rFonts w:cs="Times New Roman"/>
                <w:b/>
                <w:color w:val="FFFFFF" w:themeColor="background1"/>
                <w14:textFill>
                  <w14:solidFill>
                    <w14:schemeClr w14:val="bg1"/>
                  </w14:solidFill>
                </w14:textFill>
              </w:rPr>
            </w:pPr>
            <w:r>
              <w:rPr>
                <w:rFonts w:cs="Times New Roman"/>
                <w:b/>
                <w:color w:val="FFFFFF" w:themeColor="background1"/>
                <w14:textFill>
                  <w14:solidFill>
                    <w14:schemeClr w14:val="bg1"/>
                  </w14:solidFill>
                </w14:textFill>
              </w:rPr>
              <w:t>占比</w:t>
            </w:r>
          </w:p>
        </w:tc>
        <w:tc>
          <w:tcPr>
            <w:tcW w:w="672" w:type="pct"/>
            <w:shd w:val="clear" w:color="auto" w:fill="C7E2FA"/>
            <w:noWrap/>
            <w:vAlign w:val="center"/>
          </w:tcPr>
          <w:p>
            <w:pPr>
              <w:pStyle w:val="185"/>
              <w:spacing w:before="100"/>
              <w:rPr>
                <w:rFonts w:cs="Times New Roman"/>
                <w:b/>
                <w:color w:val="FFFFFF" w:themeColor="background1"/>
                <w14:textFill>
                  <w14:solidFill>
                    <w14:schemeClr w14:val="bg1"/>
                  </w14:solidFill>
                </w14:textFill>
              </w:rPr>
            </w:pPr>
            <w:r>
              <w:rPr>
                <w:rFonts w:hint="eastAsia" w:cs="Times New Roman"/>
                <w:b/>
                <w:color w:val="FFFFFF" w:themeColor="background1"/>
                <w14:textFill>
                  <w14:solidFill>
                    <w14:schemeClr w14:val="bg1"/>
                  </w14:solidFill>
                </w14:textFill>
              </w:rPr>
              <w:t>就业</w:t>
            </w:r>
            <w:r>
              <w:rPr>
                <w:rFonts w:cs="Times New Roman"/>
                <w:b/>
                <w:color w:val="FFFFFF" w:themeColor="background1"/>
                <w14:textFill>
                  <w14:solidFill>
                    <w14:schemeClr w14:val="bg1"/>
                  </w14:solidFill>
                </w14:textFill>
              </w:rPr>
              <w:t>人数</w:t>
            </w:r>
          </w:p>
        </w:tc>
        <w:tc>
          <w:tcPr>
            <w:tcW w:w="562" w:type="pct"/>
            <w:shd w:val="clear" w:color="auto" w:fill="C7E2FA"/>
            <w:noWrap/>
            <w:vAlign w:val="center"/>
          </w:tcPr>
          <w:p>
            <w:pPr>
              <w:pStyle w:val="185"/>
              <w:spacing w:before="100"/>
              <w:rPr>
                <w:rFonts w:cs="Times New Roman"/>
                <w:b/>
                <w:color w:val="FFFFFF" w:themeColor="background1"/>
                <w14:textFill>
                  <w14:solidFill>
                    <w14:schemeClr w14:val="bg1"/>
                  </w14:solidFill>
                </w14:textFill>
              </w:rPr>
            </w:pPr>
            <w:r>
              <w:rPr>
                <w:rFonts w:cs="Times New Roman"/>
                <w:b/>
                <w:color w:val="FFFFFF" w:themeColor="background1"/>
                <w14:textFill>
                  <w14:solidFill>
                    <w14:schemeClr w14:val="bg1"/>
                  </w14:solidFill>
                </w14:textFill>
              </w:rPr>
              <w:t>占比</w:t>
            </w:r>
          </w:p>
        </w:tc>
        <w:tc>
          <w:tcPr>
            <w:tcW w:w="646" w:type="pct"/>
            <w:shd w:val="clear" w:color="auto" w:fill="C7E2FA"/>
            <w:vAlign w:val="center"/>
          </w:tcPr>
          <w:p>
            <w:pPr>
              <w:pStyle w:val="185"/>
              <w:spacing w:before="100"/>
              <w:rPr>
                <w:rFonts w:cs="Times New Roman"/>
                <w:b/>
                <w:color w:val="FFFFFF" w:themeColor="background1"/>
                <w14:textFill>
                  <w14:solidFill>
                    <w14:schemeClr w14:val="bg1"/>
                  </w14:solidFill>
                </w14:textFill>
              </w:rPr>
            </w:pPr>
            <w:r>
              <w:rPr>
                <w:rFonts w:hint="eastAsia" w:cs="Times New Roman"/>
                <w:b/>
                <w:color w:val="FFFFFF" w:themeColor="background1"/>
                <w14:textFill>
                  <w14:solidFill>
                    <w14:schemeClr w14:val="bg1"/>
                  </w14:solidFill>
                </w14:textFill>
              </w:rPr>
              <w:t>就业</w:t>
            </w:r>
            <w:r>
              <w:rPr>
                <w:rFonts w:cs="Times New Roman"/>
                <w:b/>
                <w:color w:val="FFFFFF" w:themeColor="background1"/>
                <w14:textFill>
                  <w14:solidFill>
                    <w14:schemeClr w14:val="bg1"/>
                  </w14:solidFill>
                </w14:textFill>
              </w:rPr>
              <w:t>人数</w:t>
            </w:r>
          </w:p>
        </w:tc>
        <w:tc>
          <w:tcPr>
            <w:tcW w:w="562" w:type="pct"/>
            <w:shd w:val="clear" w:color="auto" w:fill="C7E2FA"/>
            <w:vAlign w:val="center"/>
          </w:tcPr>
          <w:p>
            <w:pPr>
              <w:pStyle w:val="185"/>
              <w:spacing w:before="100"/>
              <w:rPr>
                <w:rFonts w:cs="Times New Roman"/>
                <w:b/>
                <w:color w:val="FFFFFF" w:themeColor="background1"/>
                <w14:textFill>
                  <w14:solidFill>
                    <w14:schemeClr w14:val="bg1"/>
                  </w14:solidFill>
                </w14:textFill>
              </w:rPr>
            </w:pPr>
            <w:r>
              <w:rPr>
                <w:rFonts w:cs="Times New Roman"/>
                <w:b/>
                <w:color w:val="FFFFFF" w:themeColor="background1"/>
                <w14:textFill>
                  <w14:solidFill>
                    <w14:schemeClr w14:val="bg1"/>
                  </w14:solidFill>
                </w14:textFill>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tcBorders>
              <w:top w:val="single" w:color="0F6FC6" w:themeColor="accent1" w:sz="4" w:space="0"/>
            </w:tcBorders>
            <w:noWrap/>
            <w:vAlign w:val="center"/>
          </w:tcPr>
          <w:p>
            <w:pPr>
              <w:pStyle w:val="185"/>
              <w:spacing w:before="100"/>
              <w:rPr>
                <w:rFonts w:cs="Times New Roman"/>
                <w:b w:val="0"/>
                <w:bCs w:val="0"/>
                <w:color w:val="000000"/>
              </w:rPr>
            </w:pPr>
            <w:r>
              <w:rPr>
                <w:rFonts w:cs="Times New Roman"/>
                <w:b w:val="0"/>
                <w:bCs w:val="0"/>
                <w:color w:val="000000"/>
              </w:rPr>
              <w:t>仡佬族</w:t>
            </w:r>
          </w:p>
        </w:tc>
        <w:tc>
          <w:tcPr>
            <w:tcW w:w="672" w:type="pct"/>
            <w:noWrap/>
            <w:vAlign w:val="center"/>
          </w:tcPr>
          <w:p>
            <w:pPr>
              <w:pStyle w:val="185"/>
              <w:spacing w:before="100"/>
              <w:rPr>
                <w:rFonts w:cs="Times New Roman"/>
                <w:color w:val="000000"/>
              </w:rPr>
            </w:pPr>
            <w:r>
              <w:rPr>
                <w:rFonts w:cs="Times New Roman"/>
                <w:color w:val="000000"/>
              </w:rPr>
              <w:t>1</w:t>
            </w:r>
          </w:p>
        </w:tc>
        <w:tc>
          <w:tcPr>
            <w:tcW w:w="609" w:type="pct"/>
            <w:noWrap/>
            <w:vAlign w:val="center"/>
          </w:tcPr>
          <w:p>
            <w:pPr>
              <w:pStyle w:val="185"/>
              <w:spacing w:before="100"/>
              <w:rPr>
                <w:rFonts w:cs="Times New Roman"/>
                <w:color w:val="000000"/>
              </w:rPr>
            </w:pPr>
            <w:r>
              <w:rPr>
                <w:rFonts w:cs="Times New Roman"/>
                <w:color w:val="000000"/>
              </w:rPr>
              <w:t>100.00%</w:t>
            </w:r>
          </w:p>
        </w:tc>
        <w:tc>
          <w:tcPr>
            <w:tcW w:w="672" w:type="pct"/>
            <w:noWrap/>
            <w:vAlign w:val="center"/>
          </w:tcPr>
          <w:p>
            <w:pPr>
              <w:pStyle w:val="185"/>
              <w:spacing w:before="100"/>
              <w:rPr>
                <w:rFonts w:cs="Times New Roman"/>
                <w:color w:val="000000"/>
              </w:rPr>
            </w:pPr>
            <w:r>
              <w:rPr>
                <w:rFonts w:cs="Times New Roman"/>
                <w:color w:val="000000"/>
              </w:rPr>
              <w:t>1</w:t>
            </w:r>
          </w:p>
        </w:tc>
        <w:tc>
          <w:tcPr>
            <w:tcW w:w="562" w:type="pct"/>
            <w:noWrap/>
            <w:vAlign w:val="center"/>
          </w:tcPr>
          <w:p>
            <w:pPr>
              <w:pStyle w:val="185"/>
              <w:spacing w:before="100"/>
              <w:rPr>
                <w:rFonts w:cs="Times New Roman"/>
                <w:color w:val="000000"/>
              </w:rPr>
            </w:pPr>
            <w:r>
              <w:rPr>
                <w:rFonts w:cs="Times New Roman"/>
                <w:color w:val="000000"/>
              </w:rPr>
              <w:t>100.00%</w:t>
            </w:r>
          </w:p>
        </w:tc>
        <w:tc>
          <w:tcPr>
            <w:tcW w:w="646" w:type="pct"/>
            <w:vAlign w:val="center"/>
          </w:tcPr>
          <w:p>
            <w:pPr>
              <w:pStyle w:val="185"/>
              <w:spacing w:before="100"/>
              <w:rPr>
                <w:rFonts w:cs="Times New Roman"/>
                <w:color w:val="000000"/>
              </w:rPr>
            </w:pPr>
            <w:r>
              <w:rPr>
                <w:rFonts w:cs="Times New Roman"/>
                <w:color w:val="000000"/>
              </w:rPr>
              <w:t>2</w:t>
            </w:r>
          </w:p>
        </w:tc>
        <w:tc>
          <w:tcPr>
            <w:tcW w:w="562" w:type="pct"/>
            <w:vAlign w:val="center"/>
          </w:tcPr>
          <w:p>
            <w:pPr>
              <w:pStyle w:val="185"/>
              <w:spacing w:before="100"/>
              <w:rPr>
                <w:rFonts w:cs="Times New Roman"/>
                <w:color w:val="000000"/>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傣族</w:t>
            </w:r>
          </w:p>
        </w:tc>
        <w:tc>
          <w:tcPr>
            <w:tcW w:w="672" w:type="pct"/>
            <w:shd w:val="clear" w:color="auto" w:fill="C7E2FA"/>
            <w:noWrap/>
            <w:vAlign w:val="center"/>
          </w:tcPr>
          <w:p>
            <w:pPr>
              <w:pStyle w:val="185"/>
              <w:spacing w:before="100"/>
              <w:rPr>
                <w:rFonts w:cs="Times New Roman"/>
                <w:color w:val="000000"/>
              </w:rPr>
            </w:pPr>
            <w:r>
              <w:rPr>
                <w:rFonts w:cs="Times New Roman"/>
                <w:color w:val="000000"/>
              </w:rPr>
              <w:t>1</w:t>
            </w:r>
          </w:p>
        </w:tc>
        <w:tc>
          <w:tcPr>
            <w:tcW w:w="609" w:type="pct"/>
            <w:shd w:val="clear" w:color="auto" w:fill="C7E2FA"/>
            <w:noWrap/>
            <w:vAlign w:val="center"/>
          </w:tcPr>
          <w:p>
            <w:pPr>
              <w:pStyle w:val="185"/>
              <w:spacing w:before="100"/>
              <w:rPr>
                <w:rFonts w:cs="Times New Roman"/>
                <w:color w:val="000000"/>
              </w:rPr>
            </w:pPr>
            <w:r>
              <w:rPr>
                <w:rFonts w:cs="Times New Roman"/>
                <w:color w:val="000000"/>
              </w:rPr>
              <w:t>100.00%</w:t>
            </w:r>
          </w:p>
        </w:tc>
        <w:tc>
          <w:tcPr>
            <w:tcW w:w="672" w:type="pct"/>
            <w:shd w:val="clear" w:color="auto" w:fill="C7E2FA"/>
            <w:noWrap/>
            <w:vAlign w:val="center"/>
          </w:tcPr>
          <w:p>
            <w:pPr>
              <w:pStyle w:val="185"/>
              <w:spacing w:before="100"/>
              <w:rPr>
                <w:rFonts w:cs="Times New Roman"/>
                <w:color w:val="000000"/>
              </w:rPr>
            </w:pPr>
            <w:r>
              <w:rPr>
                <w:rFonts w:cs="Times New Roman"/>
              </w:rPr>
              <w:t>-</w:t>
            </w:r>
          </w:p>
        </w:tc>
        <w:tc>
          <w:tcPr>
            <w:tcW w:w="562" w:type="pct"/>
            <w:shd w:val="clear" w:color="auto" w:fill="C7E2FA"/>
            <w:noWrap/>
            <w:vAlign w:val="center"/>
          </w:tcPr>
          <w:p>
            <w:pPr>
              <w:pStyle w:val="185"/>
              <w:spacing w:before="100"/>
              <w:rPr>
                <w:rFonts w:cs="Times New Roman"/>
                <w:color w:val="000000"/>
              </w:rPr>
            </w:pPr>
            <w:r>
              <w:rPr>
                <w:rFonts w:cs="Times New Roman"/>
              </w:rPr>
              <w:t>-</w:t>
            </w:r>
          </w:p>
        </w:tc>
        <w:tc>
          <w:tcPr>
            <w:tcW w:w="646" w:type="pct"/>
            <w:shd w:val="clear" w:color="auto" w:fill="C7E2FA"/>
            <w:vAlign w:val="center"/>
          </w:tcPr>
          <w:p>
            <w:pPr>
              <w:pStyle w:val="185"/>
              <w:spacing w:before="100"/>
              <w:rPr>
                <w:rFonts w:cs="Times New Roman"/>
                <w:color w:val="000000"/>
              </w:rPr>
            </w:pPr>
            <w:r>
              <w:rPr>
                <w:rFonts w:cs="Times New Roman"/>
                <w:color w:val="000000"/>
              </w:rPr>
              <w:t>1</w:t>
            </w:r>
          </w:p>
        </w:tc>
        <w:tc>
          <w:tcPr>
            <w:tcW w:w="562" w:type="pct"/>
            <w:shd w:val="clear" w:color="auto" w:fill="C7E2FA"/>
            <w:vAlign w:val="center"/>
          </w:tcPr>
          <w:p>
            <w:pPr>
              <w:pStyle w:val="185"/>
              <w:spacing w:before="100"/>
              <w:rPr>
                <w:rFonts w:cs="Times New Roman"/>
                <w:color w:val="000000"/>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其它</w:t>
            </w:r>
          </w:p>
        </w:tc>
        <w:tc>
          <w:tcPr>
            <w:tcW w:w="672" w:type="pct"/>
            <w:noWrap/>
            <w:vAlign w:val="center"/>
          </w:tcPr>
          <w:p>
            <w:pPr>
              <w:pStyle w:val="185"/>
              <w:spacing w:before="100"/>
              <w:rPr>
                <w:rFonts w:cs="Times New Roman"/>
                <w:color w:val="000000"/>
              </w:rPr>
            </w:pPr>
            <w:r>
              <w:rPr>
                <w:rFonts w:cs="Times New Roman"/>
                <w:color w:val="000000"/>
              </w:rPr>
              <w:t>1</w:t>
            </w:r>
          </w:p>
        </w:tc>
        <w:tc>
          <w:tcPr>
            <w:tcW w:w="609" w:type="pct"/>
            <w:noWrap/>
            <w:vAlign w:val="center"/>
          </w:tcPr>
          <w:p>
            <w:pPr>
              <w:pStyle w:val="185"/>
              <w:spacing w:before="100"/>
              <w:rPr>
                <w:rFonts w:cs="Times New Roman"/>
                <w:color w:val="000000"/>
              </w:rPr>
            </w:pPr>
            <w:r>
              <w:rPr>
                <w:rFonts w:cs="Times New Roman"/>
                <w:color w:val="000000"/>
              </w:rPr>
              <w:t>100.00%</w:t>
            </w:r>
          </w:p>
        </w:tc>
        <w:tc>
          <w:tcPr>
            <w:tcW w:w="672" w:type="pct"/>
            <w:noWrap/>
            <w:vAlign w:val="center"/>
          </w:tcPr>
          <w:p>
            <w:pPr>
              <w:pStyle w:val="185"/>
              <w:spacing w:before="100"/>
              <w:rPr>
                <w:rFonts w:cs="Times New Roman"/>
                <w:color w:val="000000"/>
              </w:rPr>
            </w:pPr>
            <w:r>
              <w:rPr>
                <w:rFonts w:cs="Times New Roman"/>
                <w:color w:val="000000"/>
              </w:rPr>
              <w:t>1.22%</w:t>
            </w:r>
          </w:p>
        </w:tc>
        <w:tc>
          <w:tcPr>
            <w:tcW w:w="562" w:type="pct"/>
            <w:noWrap/>
            <w:vAlign w:val="center"/>
          </w:tcPr>
          <w:p>
            <w:pPr>
              <w:pStyle w:val="185"/>
              <w:spacing w:before="100"/>
              <w:rPr>
                <w:rFonts w:cs="Times New Roman"/>
                <w:color w:val="000000"/>
              </w:rPr>
            </w:pPr>
            <w:r>
              <w:rPr>
                <w:rFonts w:cs="Times New Roman"/>
                <w:color w:val="000000"/>
              </w:rPr>
              <w:t>0.61%</w:t>
            </w:r>
          </w:p>
        </w:tc>
        <w:tc>
          <w:tcPr>
            <w:tcW w:w="646" w:type="pct"/>
            <w:vAlign w:val="center"/>
          </w:tcPr>
          <w:p>
            <w:pPr>
              <w:pStyle w:val="185"/>
              <w:spacing w:before="100"/>
              <w:rPr>
                <w:rFonts w:cs="Times New Roman"/>
                <w:color w:val="000000"/>
              </w:rPr>
            </w:pPr>
            <w:r>
              <w:rPr>
                <w:rFonts w:cs="Times New Roman"/>
                <w:color w:val="000000"/>
              </w:rPr>
              <w:t>1</w:t>
            </w:r>
          </w:p>
        </w:tc>
        <w:tc>
          <w:tcPr>
            <w:tcW w:w="562" w:type="pct"/>
            <w:vAlign w:val="center"/>
          </w:tcPr>
          <w:p>
            <w:pPr>
              <w:pStyle w:val="185"/>
              <w:spacing w:before="100"/>
              <w:rPr>
                <w:rFonts w:cs="Times New Roman"/>
                <w:color w:val="000000"/>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水族</w:t>
            </w:r>
          </w:p>
        </w:tc>
        <w:tc>
          <w:tcPr>
            <w:tcW w:w="672" w:type="pct"/>
            <w:shd w:val="clear" w:color="auto" w:fill="C7E2FA"/>
            <w:noWrap/>
            <w:vAlign w:val="center"/>
          </w:tcPr>
          <w:p>
            <w:pPr>
              <w:pStyle w:val="185"/>
              <w:spacing w:before="100"/>
              <w:rPr>
                <w:rFonts w:cs="Times New Roman"/>
              </w:rPr>
            </w:pPr>
            <w:r>
              <w:rPr>
                <w:rFonts w:cs="Times New Roman"/>
                <w:color w:val="000000"/>
              </w:rPr>
              <w:t>1</w:t>
            </w:r>
          </w:p>
        </w:tc>
        <w:tc>
          <w:tcPr>
            <w:tcW w:w="609" w:type="pct"/>
            <w:shd w:val="clear" w:color="auto" w:fill="C7E2FA"/>
            <w:noWrap/>
            <w:vAlign w:val="center"/>
          </w:tcPr>
          <w:p>
            <w:pPr>
              <w:pStyle w:val="185"/>
              <w:spacing w:before="100"/>
              <w:rPr>
                <w:rFonts w:cs="Times New Roman"/>
              </w:rPr>
            </w:pPr>
            <w:r>
              <w:rPr>
                <w:rFonts w:cs="Times New Roman"/>
                <w:color w:val="000000"/>
              </w:rPr>
              <w:t>100.00%</w:t>
            </w:r>
          </w:p>
        </w:tc>
        <w:tc>
          <w:tcPr>
            <w:tcW w:w="672" w:type="pct"/>
            <w:shd w:val="clear" w:color="auto" w:fill="C7E2FA"/>
            <w:noWrap/>
            <w:vAlign w:val="center"/>
          </w:tcPr>
          <w:p>
            <w:pPr>
              <w:pStyle w:val="185"/>
              <w:spacing w:before="100"/>
              <w:rPr>
                <w:rFonts w:cs="Times New Roman"/>
              </w:rPr>
            </w:pPr>
            <w:r>
              <w:rPr>
                <w:rFonts w:cs="Times New Roman"/>
                <w:color w:val="000000"/>
              </w:rPr>
              <w:t>4.07%</w:t>
            </w:r>
          </w:p>
        </w:tc>
        <w:tc>
          <w:tcPr>
            <w:tcW w:w="562" w:type="pct"/>
            <w:shd w:val="clear" w:color="auto" w:fill="C7E2FA"/>
            <w:noWrap/>
            <w:vAlign w:val="center"/>
          </w:tcPr>
          <w:p>
            <w:pPr>
              <w:pStyle w:val="185"/>
              <w:spacing w:before="100"/>
              <w:rPr>
                <w:rFonts w:cs="Times New Roman"/>
              </w:rPr>
            </w:pPr>
            <w:r>
              <w:rPr>
                <w:rFonts w:cs="Times New Roman"/>
                <w:color w:val="000000"/>
              </w:rPr>
              <w:t>0.76%</w:t>
            </w:r>
          </w:p>
        </w:tc>
        <w:tc>
          <w:tcPr>
            <w:tcW w:w="646" w:type="pct"/>
            <w:shd w:val="clear" w:color="auto" w:fill="C7E2FA"/>
            <w:vAlign w:val="center"/>
          </w:tcPr>
          <w:p>
            <w:pPr>
              <w:pStyle w:val="185"/>
              <w:spacing w:before="100"/>
              <w:rPr>
                <w:rFonts w:cs="Times New Roman"/>
                <w:color w:val="000000"/>
              </w:rPr>
            </w:pPr>
            <w:r>
              <w:rPr>
                <w:rFonts w:cs="Times New Roman"/>
                <w:color w:val="000000"/>
              </w:rPr>
              <w:t>1</w:t>
            </w:r>
          </w:p>
        </w:tc>
        <w:tc>
          <w:tcPr>
            <w:tcW w:w="562" w:type="pct"/>
            <w:shd w:val="clear" w:color="auto" w:fill="C7E2FA"/>
            <w:vAlign w:val="center"/>
          </w:tcPr>
          <w:p>
            <w:pPr>
              <w:pStyle w:val="185"/>
              <w:spacing w:before="100"/>
              <w:rPr>
                <w:rFonts w:cs="Times New Roman"/>
                <w:color w:val="000000"/>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瑶族</w:t>
            </w:r>
          </w:p>
        </w:tc>
        <w:tc>
          <w:tcPr>
            <w:tcW w:w="672" w:type="pct"/>
            <w:noWrap/>
            <w:vAlign w:val="center"/>
          </w:tcPr>
          <w:p>
            <w:pPr>
              <w:pStyle w:val="185"/>
              <w:spacing w:before="100"/>
              <w:rPr>
                <w:rFonts w:cs="Times New Roman"/>
              </w:rPr>
            </w:pPr>
            <w:r>
              <w:rPr>
                <w:rFonts w:cs="Times New Roman"/>
                <w:color w:val="000000"/>
              </w:rPr>
              <w:t>1</w:t>
            </w:r>
          </w:p>
        </w:tc>
        <w:tc>
          <w:tcPr>
            <w:tcW w:w="609" w:type="pct"/>
            <w:noWrap/>
            <w:vAlign w:val="center"/>
          </w:tcPr>
          <w:p>
            <w:pPr>
              <w:pStyle w:val="185"/>
              <w:spacing w:before="100"/>
              <w:rPr>
                <w:rFonts w:cs="Times New Roman"/>
              </w:rPr>
            </w:pPr>
            <w:r>
              <w:rPr>
                <w:rFonts w:cs="Times New Roman"/>
                <w:color w:val="000000"/>
              </w:rPr>
              <w:t>100.00%</w:t>
            </w:r>
          </w:p>
        </w:tc>
        <w:tc>
          <w:tcPr>
            <w:tcW w:w="672" w:type="pct"/>
            <w:noWrap/>
            <w:vAlign w:val="center"/>
          </w:tcPr>
          <w:p>
            <w:pPr>
              <w:pStyle w:val="185"/>
              <w:spacing w:before="100"/>
              <w:rPr>
                <w:rFonts w:cs="Times New Roman"/>
              </w:rPr>
            </w:pPr>
            <w:r>
              <w:rPr>
                <w:rFonts w:cs="Times New Roman"/>
                <w:color w:val="000000"/>
              </w:rPr>
              <w:t>0.41%</w:t>
            </w:r>
          </w:p>
        </w:tc>
        <w:tc>
          <w:tcPr>
            <w:tcW w:w="562" w:type="pct"/>
            <w:noWrap/>
            <w:vAlign w:val="center"/>
          </w:tcPr>
          <w:p>
            <w:pPr>
              <w:pStyle w:val="185"/>
              <w:spacing w:before="100"/>
              <w:rPr>
                <w:rFonts w:cs="Times New Roman"/>
              </w:rPr>
            </w:pPr>
            <w:r>
              <w:rPr>
                <w:rFonts w:cs="Times New Roman"/>
                <w:color w:val="000000"/>
              </w:rPr>
              <w:t>5.33%</w:t>
            </w:r>
          </w:p>
        </w:tc>
        <w:tc>
          <w:tcPr>
            <w:tcW w:w="646" w:type="pct"/>
            <w:vAlign w:val="center"/>
          </w:tcPr>
          <w:p>
            <w:pPr>
              <w:pStyle w:val="185"/>
              <w:spacing w:before="100"/>
              <w:rPr>
                <w:rFonts w:cs="Times New Roman"/>
                <w:color w:val="000000"/>
              </w:rPr>
            </w:pPr>
            <w:r>
              <w:rPr>
                <w:rFonts w:cs="Times New Roman"/>
                <w:color w:val="000000"/>
              </w:rPr>
              <w:t>1</w:t>
            </w:r>
          </w:p>
        </w:tc>
        <w:tc>
          <w:tcPr>
            <w:tcW w:w="562" w:type="pct"/>
            <w:vAlign w:val="center"/>
          </w:tcPr>
          <w:p>
            <w:pPr>
              <w:pStyle w:val="185"/>
              <w:spacing w:before="100"/>
              <w:rPr>
                <w:rFonts w:cs="Times New Roman"/>
                <w:color w:val="000000"/>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畲族</w:t>
            </w:r>
          </w:p>
        </w:tc>
        <w:tc>
          <w:tcPr>
            <w:tcW w:w="672" w:type="pct"/>
            <w:shd w:val="clear" w:color="auto" w:fill="C7E2FA"/>
            <w:noWrap/>
            <w:vAlign w:val="center"/>
          </w:tcPr>
          <w:p>
            <w:pPr>
              <w:pStyle w:val="185"/>
              <w:spacing w:before="100"/>
              <w:rPr>
                <w:rFonts w:cs="Times New Roman"/>
              </w:rPr>
            </w:pPr>
            <w:r>
              <w:rPr>
                <w:rFonts w:cs="Times New Roman"/>
                <w:color w:val="000000"/>
              </w:rPr>
              <w:t>1</w:t>
            </w:r>
          </w:p>
        </w:tc>
        <w:tc>
          <w:tcPr>
            <w:tcW w:w="609" w:type="pct"/>
            <w:shd w:val="clear" w:color="auto" w:fill="C7E2FA"/>
            <w:noWrap/>
            <w:vAlign w:val="center"/>
          </w:tcPr>
          <w:p>
            <w:pPr>
              <w:pStyle w:val="185"/>
              <w:spacing w:before="100"/>
              <w:rPr>
                <w:rFonts w:cs="Times New Roman"/>
              </w:rPr>
            </w:pPr>
            <w:r>
              <w:rPr>
                <w:rFonts w:cs="Times New Roman"/>
                <w:color w:val="000000"/>
              </w:rPr>
              <w:t>100.00%</w:t>
            </w:r>
          </w:p>
        </w:tc>
        <w:tc>
          <w:tcPr>
            <w:tcW w:w="672" w:type="pct"/>
            <w:shd w:val="clear" w:color="auto" w:fill="C7E2FA"/>
            <w:noWrap/>
            <w:vAlign w:val="center"/>
          </w:tcPr>
          <w:p>
            <w:pPr>
              <w:pStyle w:val="185"/>
              <w:spacing w:before="100"/>
              <w:rPr>
                <w:rFonts w:cs="Times New Roman"/>
              </w:rPr>
            </w:pPr>
            <w:r>
              <w:rPr>
                <w:rFonts w:cs="Times New Roman"/>
                <w:color w:val="000000"/>
              </w:rPr>
              <w:t>2</w:t>
            </w:r>
          </w:p>
        </w:tc>
        <w:tc>
          <w:tcPr>
            <w:tcW w:w="562" w:type="pct"/>
            <w:shd w:val="clear" w:color="auto" w:fill="C7E2FA"/>
            <w:noWrap/>
            <w:vAlign w:val="center"/>
          </w:tcPr>
          <w:p>
            <w:pPr>
              <w:pStyle w:val="185"/>
              <w:spacing w:before="100"/>
              <w:rPr>
                <w:rFonts w:cs="Times New Roman"/>
              </w:rPr>
            </w:pPr>
            <w:r>
              <w:rPr>
                <w:rFonts w:cs="Times New Roman"/>
                <w:color w:val="000000"/>
              </w:rPr>
              <w:t>100.00%</w:t>
            </w:r>
          </w:p>
        </w:tc>
        <w:tc>
          <w:tcPr>
            <w:tcW w:w="646" w:type="pct"/>
            <w:shd w:val="clear" w:color="auto" w:fill="C7E2FA"/>
            <w:vAlign w:val="center"/>
          </w:tcPr>
          <w:p>
            <w:pPr>
              <w:pStyle w:val="185"/>
              <w:spacing w:before="100"/>
              <w:rPr>
                <w:rFonts w:cs="Times New Roman"/>
              </w:rPr>
            </w:pPr>
            <w:r>
              <w:rPr>
                <w:rFonts w:cs="Times New Roman"/>
                <w:color w:val="000000"/>
              </w:rPr>
              <w:t>2</w:t>
            </w:r>
          </w:p>
        </w:tc>
        <w:tc>
          <w:tcPr>
            <w:tcW w:w="562" w:type="pct"/>
            <w:shd w:val="clear" w:color="auto" w:fill="C7E2FA"/>
            <w:vAlign w:val="center"/>
          </w:tcPr>
          <w:p>
            <w:pPr>
              <w:pStyle w:val="185"/>
              <w:spacing w:before="100"/>
              <w:rPr>
                <w:rFonts w:cs="Times New Roman"/>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白族</w:t>
            </w:r>
          </w:p>
        </w:tc>
        <w:tc>
          <w:tcPr>
            <w:tcW w:w="672" w:type="pct"/>
            <w:noWrap/>
            <w:vAlign w:val="center"/>
          </w:tcPr>
          <w:p>
            <w:pPr>
              <w:pStyle w:val="185"/>
              <w:spacing w:before="100"/>
              <w:rPr>
                <w:rFonts w:cs="Times New Roman"/>
                <w:color w:val="000000"/>
              </w:rPr>
            </w:pPr>
            <w:r>
              <w:rPr>
                <w:rFonts w:cs="Times New Roman"/>
                <w:color w:val="000000"/>
              </w:rPr>
              <w:t>1</w:t>
            </w:r>
          </w:p>
        </w:tc>
        <w:tc>
          <w:tcPr>
            <w:tcW w:w="609" w:type="pct"/>
            <w:noWrap/>
            <w:vAlign w:val="center"/>
          </w:tcPr>
          <w:p>
            <w:pPr>
              <w:pStyle w:val="185"/>
              <w:spacing w:before="100"/>
              <w:rPr>
                <w:rFonts w:cs="Times New Roman"/>
                <w:color w:val="000000"/>
              </w:rPr>
            </w:pPr>
            <w:r>
              <w:rPr>
                <w:rFonts w:cs="Times New Roman"/>
                <w:color w:val="000000"/>
              </w:rPr>
              <w:t>100.00%</w:t>
            </w:r>
          </w:p>
        </w:tc>
        <w:tc>
          <w:tcPr>
            <w:tcW w:w="672" w:type="pct"/>
            <w:noWrap/>
            <w:vAlign w:val="center"/>
          </w:tcPr>
          <w:p>
            <w:pPr>
              <w:pStyle w:val="185"/>
              <w:spacing w:before="100"/>
              <w:rPr>
                <w:rFonts w:cs="Times New Roman"/>
                <w:color w:val="000000"/>
              </w:rPr>
            </w:pPr>
            <w:r>
              <w:rPr>
                <w:rFonts w:cs="Times New Roman"/>
              </w:rPr>
              <w:t>93.50%</w:t>
            </w:r>
          </w:p>
        </w:tc>
        <w:tc>
          <w:tcPr>
            <w:tcW w:w="562" w:type="pct"/>
            <w:noWrap/>
            <w:vAlign w:val="center"/>
          </w:tcPr>
          <w:p>
            <w:pPr>
              <w:pStyle w:val="185"/>
              <w:spacing w:before="100"/>
              <w:rPr>
                <w:rFonts w:cs="Times New Roman"/>
                <w:color w:val="000000"/>
              </w:rPr>
            </w:pPr>
            <w:r>
              <w:rPr>
                <w:rFonts w:cs="Times New Roman"/>
              </w:rPr>
              <w:t>96.35%</w:t>
            </w:r>
          </w:p>
        </w:tc>
        <w:tc>
          <w:tcPr>
            <w:tcW w:w="646" w:type="pct"/>
            <w:vAlign w:val="center"/>
          </w:tcPr>
          <w:p>
            <w:pPr>
              <w:pStyle w:val="185"/>
              <w:spacing w:before="100"/>
              <w:rPr>
                <w:rFonts w:cs="Times New Roman"/>
              </w:rPr>
            </w:pPr>
            <w:r>
              <w:rPr>
                <w:rFonts w:cs="Times New Roman"/>
                <w:color w:val="000000"/>
              </w:rPr>
              <w:t>1</w:t>
            </w:r>
          </w:p>
        </w:tc>
        <w:tc>
          <w:tcPr>
            <w:tcW w:w="562" w:type="pct"/>
            <w:vAlign w:val="center"/>
          </w:tcPr>
          <w:p>
            <w:pPr>
              <w:pStyle w:val="185"/>
              <w:spacing w:before="100"/>
              <w:rPr>
                <w:rFonts w:cs="Times New Roman"/>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达斡尔族</w:t>
            </w:r>
          </w:p>
        </w:tc>
        <w:tc>
          <w:tcPr>
            <w:tcW w:w="672" w:type="pct"/>
            <w:shd w:val="clear" w:color="auto" w:fill="C7E2FA"/>
            <w:noWrap/>
            <w:vAlign w:val="center"/>
          </w:tcPr>
          <w:p>
            <w:pPr>
              <w:pStyle w:val="185"/>
              <w:spacing w:before="100"/>
              <w:rPr>
                <w:rFonts w:cs="Times New Roman"/>
              </w:rPr>
            </w:pPr>
            <w:r>
              <w:rPr>
                <w:rFonts w:cs="Times New Roman"/>
                <w:color w:val="000000"/>
              </w:rPr>
              <w:t>1</w:t>
            </w:r>
          </w:p>
        </w:tc>
        <w:tc>
          <w:tcPr>
            <w:tcW w:w="609" w:type="pct"/>
            <w:shd w:val="clear" w:color="auto" w:fill="C7E2FA"/>
            <w:noWrap/>
            <w:vAlign w:val="center"/>
          </w:tcPr>
          <w:p>
            <w:pPr>
              <w:pStyle w:val="185"/>
              <w:spacing w:before="100"/>
              <w:rPr>
                <w:rFonts w:cs="Times New Roman"/>
              </w:rPr>
            </w:pPr>
            <w:r>
              <w:rPr>
                <w:rFonts w:cs="Times New Roman"/>
                <w:color w:val="000000"/>
              </w:rPr>
              <w:t>100.00%</w:t>
            </w:r>
          </w:p>
        </w:tc>
        <w:tc>
          <w:tcPr>
            <w:tcW w:w="672" w:type="pct"/>
            <w:shd w:val="clear" w:color="auto" w:fill="C7E2FA"/>
            <w:noWrap/>
            <w:vAlign w:val="center"/>
          </w:tcPr>
          <w:p>
            <w:pPr>
              <w:pStyle w:val="185"/>
              <w:spacing w:before="100"/>
              <w:rPr>
                <w:rFonts w:cs="Times New Roman"/>
              </w:rPr>
            </w:pPr>
            <w:r>
              <w:rPr>
                <w:rFonts w:cs="Times New Roman"/>
              </w:rPr>
              <w:t>-</w:t>
            </w:r>
          </w:p>
        </w:tc>
        <w:tc>
          <w:tcPr>
            <w:tcW w:w="562" w:type="pct"/>
            <w:shd w:val="clear" w:color="auto" w:fill="C7E2FA"/>
            <w:noWrap/>
            <w:vAlign w:val="center"/>
          </w:tcPr>
          <w:p>
            <w:pPr>
              <w:pStyle w:val="185"/>
              <w:spacing w:before="100"/>
              <w:rPr>
                <w:rFonts w:cs="Times New Roman"/>
              </w:rPr>
            </w:pPr>
            <w:r>
              <w:rPr>
                <w:rFonts w:cs="Times New Roman"/>
              </w:rPr>
              <w:t>-</w:t>
            </w:r>
          </w:p>
        </w:tc>
        <w:tc>
          <w:tcPr>
            <w:tcW w:w="646" w:type="pct"/>
            <w:shd w:val="clear" w:color="auto" w:fill="C7E2FA"/>
            <w:vAlign w:val="center"/>
          </w:tcPr>
          <w:p>
            <w:pPr>
              <w:pStyle w:val="185"/>
              <w:spacing w:before="100"/>
              <w:rPr>
                <w:rFonts w:cs="Times New Roman"/>
              </w:rPr>
            </w:pPr>
            <w:r>
              <w:rPr>
                <w:rFonts w:cs="Times New Roman"/>
                <w:color w:val="000000"/>
              </w:rPr>
              <w:t>1</w:t>
            </w:r>
          </w:p>
        </w:tc>
        <w:tc>
          <w:tcPr>
            <w:tcW w:w="562" w:type="pct"/>
            <w:shd w:val="clear" w:color="auto" w:fill="C7E2FA"/>
            <w:vAlign w:val="center"/>
          </w:tcPr>
          <w:p>
            <w:pPr>
              <w:pStyle w:val="185"/>
              <w:spacing w:before="100"/>
              <w:rPr>
                <w:rFonts w:cs="Times New Roman"/>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黎族</w:t>
            </w:r>
          </w:p>
        </w:tc>
        <w:tc>
          <w:tcPr>
            <w:tcW w:w="672" w:type="pct"/>
            <w:noWrap/>
            <w:vAlign w:val="center"/>
          </w:tcPr>
          <w:p>
            <w:pPr>
              <w:pStyle w:val="185"/>
              <w:spacing w:before="100"/>
              <w:rPr>
                <w:rFonts w:cs="Times New Roman"/>
              </w:rPr>
            </w:pPr>
            <w:r>
              <w:rPr>
                <w:rFonts w:cs="Times New Roman"/>
              </w:rPr>
              <w:t>-</w:t>
            </w:r>
          </w:p>
        </w:tc>
        <w:tc>
          <w:tcPr>
            <w:tcW w:w="609" w:type="pct"/>
            <w:noWrap/>
            <w:vAlign w:val="center"/>
          </w:tcPr>
          <w:p>
            <w:pPr>
              <w:pStyle w:val="185"/>
              <w:spacing w:before="100"/>
              <w:rPr>
                <w:rFonts w:cs="Times New Roman"/>
              </w:rPr>
            </w:pPr>
            <w:r>
              <w:rPr>
                <w:rFonts w:cs="Times New Roman"/>
              </w:rPr>
              <w:t>-</w:t>
            </w:r>
          </w:p>
        </w:tc>
        <w:tc>
          <w:tcPr>
            <w:tcW w:w="672" w:type="pct"/>
            <w:noWrap/>
            <w:vAlign w:val="center"/>
          </w:tcPr>
          <w:p>
            <w:pPr>
              <w:pStyle w:val="185"/>
              <w:spacing w:before="100"/>
              <w:rPr>
                <w:rFonts w:cs="Times New Roman"/>
              </w:rPr>
            </w:pPr>
            <w:r>
              <w:rPr>
                <w:rFonts w:cs="Times New Roman"/>
                <w:color w:val="000000"/>
              </w:rPr>
              <w:t>6</w:t>
            </w:r>
          </w:p>
        </w:tc>
        <w:tc>
          <w:tcPr>
            <w:tcW w:w="562" w:type="pct"/>
            <w:noWrap/>
            <w:vAlign w:val="center"/>
          </w:tcPr>
          <w:p>
            <w:pPr>
              <w:pStyle w:val="185"/>
              <w:spacing w:before="100"/>
              <w:rPr>
                <w:rFonts w:cs="Times New Roman"/>
              </w:rPr>
            </w:pPr>
            <w:r>
              <w:rPr>
                <w:rFonts w:cs="Times New Roman"/>
                <w:color w:val="000000"/>
              </w:rPr>
              <w:t>100.00%</w:t>
            </w:r>
          </w:p>
        </w:tc>
        <w:tc>
          <w:tcPr>
            <w:tcW w:w="646" w:type="pct"/>
            <w:vAlign w:val="center"/>
          </w:tcPr>
          <w:p>
            <w:pPr>
              <w:pStyle w:val="185"/>
              <w:spacing w:before="100"/>
              <w:rPr>
                <w:rFonts w:cs="Times New Roman"/>
              </w:rPr>
            </w:pPr>
            <w:r>
              <w:rPr>
                <w:rFonts w:cs="Times New Roman"/>
                <w:color w:val="000000"/>
              </w:rPr>
              <w:t>6</w:t>
            </w:r>
          </w:p>
        </w:tc>
        <w:tc>
          <w:tcPr>
            <w:tcW w:w="562" w:type="pct"/>
            <w:vAlign w:val="center"/>
          </w:tcPr>
          <w:p>
            <w:pPr>
              <w:pStyle w:val="185"/>
              <w:spacing w:before="100"/>
              <w:rPr>
                <w:rFonts w:cs="Times New Roman"/>
              </w:rPr>
            </w:pPr>
            <w:r>
              <w:rPr>
                <w:rFonts w:cs="Times New Roman"/>
                <w:color w:val="000000"/>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土家族</w:t>
            </w:r>
          </w:p>
        </w:tc>
        <w:tc>
          <w:tcPr>
            <w:tcW w:w="672" w:type="pct"/>
            <w:shd w:val="clear" w:color="auto" w:fill="C7E2FA"/>
            <w:noWrap/>
            <w:vAlign w:val="center"/>
          </w:tcPr>
          <w:p>
            <w:pPr>
              <w:pStyle w:val="185"/>
              <w:spacing w:before="100"/>
              <w:rPr>
                <w:rFonts w:cs="Times New Roman"/>
                <w:color w:val="000000"/>
              </w:rPr>
            </w:pPr>
            <w:r>
              <w:rPr>
                <w:rFonts w:cs="Times New Roman"/>
                <w:color w:val="000000"/>
              </w:rPr>
              <w:t>71</w:t>
            </w:r>
          </w:p>
        </w:tc>
        <w:tc>
          <w:tcPr>
            <w:tcW w:w="609" w:type="pct"/>
            <w:shd w:val="clear" w:color="auto" w:fill="C7E2FA"/>
            <w:noWrap/>
            <w:vAlign w:val="center"/>
          </w:tcPr>
          <w:p>
            <w:pPr>
              <w:pStyle w:val="185"/>
              <w:spacing w:before="100"/>
              <w:rPr>
                <w:rFonts w:cs="Times New Roman"/>
                <w:color w:val="000000"/>
              </w:rPr>
            </w:pPr>
            <w:r>
              <w:rPr>
                <w:rFonts w:cs="Times New Roman"/>
                <w:color w:val="000000"/>
              </w:rPr>
              <w:t>91.03%</w:t>
            </w:r>
          </w:p>
        </w:tc>
        <w:tc>
          <w:tcPr>
            <w:tcW w:w="672" w:type="pct"/>
            <w:shd w:val="clear" w:color="auto" w:fill="C7E2FA"/>
            <w:noWrap/>
            <w:vAlign w:val="center"/>
          </w:tcPr>
          <w:p>
            <w:pPr>
              <w:pStyle w:val="185"/>
              <w:spacing w:before="100"/>
              <w:rPr>
                <w:rFonts w:cs="Times New Roman"/>
              </w:rPr>
            </w:pPr>
            <w:r>
              <w:rPr>
                <w:rFonts w:cs="Times New Roman"/>
                <w:color w:val="000000"/>
              </w:rPr>
              <w:t>69</w:t>
            </w:r>
          </w:p>
        </w:tc>
        <w:tc>
          <w:tcPr>
            <w:tcW w:w="562" w:type="pct"/>
            <w:shd w:val="clear" w:color="auto" w:fill="C7E2FA"/>
            <w:noWrap/>
            <w:vAlign w:val="center"/>
          </w:tcPr>
          <w:p>
            <w:pPr>
              <w:pStyle w:val="185"/>
              <w:spacing w:before="100"/>
              <w:rPr>
                <w:rFonts w:cs="Times New Roman"/>
              </w:rPr>
            </w:pPr>
            <w:r>
              <w:rPr>
                <w:rFonts w:cs="Times New Roman"/>
                <w:color w:val="000000"/>
              </w:rPr>
              <w:t>93.24%</w:t>
            </w:r>
          </w:p>
        </w:tc>
        <w:tc>
          <w:tcPr>
            <w:tcW w:w="646" w:type="pct"/>
            <w:shd w:val="clear" w:color="auto" w:fill="C7E2FA"/>
            <w:vAlign w:val="center"/>
          </w:tcPr>
          <w:p>
            <w:pPr>
              <w:pStyle w:val="185"/>
              <w:spacing w:before="100"/>
              <w:rPr>
                <w:rFonts w:cs="Times New Roman"/>
              </w:rPr>
            </w:pPr>
            <w:r>
              <w:rPr>
                <w:rFonts w:cs="Times New Roman"/>
                <w:color w:val="000000"/>
              </w:rPr>
              <w:t>140</w:t>
            </w:r>
          </w:p>
        </w:tc>
        <w:tc>
          <w:tcPr>
            <w:tcW w:w="562" w:type="pct"/>
            <w:shd w:val="clear" w:color="auto" w:fill="C7E2FA"/>
            <w:vAlign w:val="center"/>
          </w:tcPr>
          <w:p>
            <w:pPr>
              <w:pStyle w:val="185"/>
              <w:spacing w:before="100"/>
              <w:rPr>
                <w:rFonts w:cs="Times New Roman"/>
              </w:rPr>
            </w:pPr>
            <w:r>
              <w:rPr>
                <w:rFonts w:cs="Times New Roman"/>
                <w:color w:val="000000"/>
              </w:rPr>
              <w:t>92.11%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侗族</w:t>
            </w:r>
          </w:p>
        </w:tc>
        <w:tc>
          <w:tcPr>
            <w:tcW w:w="672" w:type="pct"/>
            <w:noWrap/>
            <w:vAlign w:val="center"/>
          </w:tcPr>
          <w:p>
            <w:pPr>
              <w:pStyle w:val="185"/>
              <w:spacing w:before="100"/>
              <w:rPr>
                <w:rFonts w:cs="Times New Roman"/>
                <w:color w:val="000000"/>
              </w:rPr>
            </w:pPr>
            <w:r>
              <w:rPr>
                <w:rFonts w:cs="Times New Roman"/>
                <w:color w:val="000000"/>
              </w:rPr>
              <w:t>8</w:t>
            </w:r>
          </w:p>
        </w:tc>
        <w:tc>
          <w:tcPr>
            <w:tcW w:w="609" w:type="pct"/>
            <w:noWrap/>
            <w:vAlign w:val="center"/>
          </w:tcPr>
          <w:p>
            <w:pPr>
              <w:pStyle w:val="185"/>
              <w:spacing w:before="100"/>
              <w:rPr>
                <w:rFonts w:cs="Times New Roman"/>
                <w:color w:val="000000"/>
              </w:rPr>
            </w:pPr>
            <w:r>
              <w:rPr>
                <w:rFonts w:cs="Times New Roman"/>
                <w:color w:val="000000"/>
              </w:rPr>
              <w:t>88.89%</w:t>
            </w:r>
          </w:p>
        </w:tc>
        <w:tc>
          <w:tcPr>
            <w:tcW w:w="672" w:type="pct"/>
            <w:noWrap/>
            <w:vAlign w:val="center"/>
          </w:tcPr>
          <w:p>
            <w:pPr>
              <w:pStyle w:val="185"/>
              <w:spacing w:before="100"/>
              <w:rPr>
                <w:rFonts w:cs="Times New Roman"/>
              </w:rPr>
            </w:pPr>
            <w:r>
              <w:rPr>
                <w:rFonts w:cs="Times New Roman"/>
                <w:color w:val="000000"/>
              </w:rPr>
              <w:t>2</w:t>
            </w:r>
          </w:p>
        </w:tc>
        <w:tc>
          <w:tcPr>
            <w:tcW w:w="562" w:type="pct"/>
            <w:noWrap/>
            <w:vAlign w:val="center"/>
          </w:tcPr>
          <w:p>
            <w:pPr>
              <w:pStyle w:val="185"/>
              <w:spacing w:before="100"/>
              <w:rPr>
                <w:rFonts w:cs="Times New Roman"/>
              </w:rPr>
            </w:pPr>
            <w:r>
              <w:rPr>
                <w:rFonts w:cs="Times New Roman"/>
                <w:color w:val="000000"/>
              </w:rPr>
              <w:t>100.00%</w:t>
            </w:r>
          </w:p>
        </w:tc>
        <w:tc>
          <w:tcPr>
            <w:tcW w:w="646" w:type="pct"/>
            <w:vAlign w:val="center"/>
          </w:tcPr>
          <w:p>
            <w:pPr>
              <w:pStyle w:val="185"/>
              <w:spacing w:before="100"/>
              <w:rPr>
                <w:rFonts w:cs="Times New Roman"/>
              </w:rPr>
            </w:pPr>
            <w:r>
              <w:rPr>
                <w:rFonts w:cs="Times New Roman"/>
                <w:color w:val="000000"/>
              </w:rPr>
              <w:t>10</w:t>
            </w:r>
          </w:p>
        </w:tc>
        <w:tc>
          <w:tcPr>
            <w:tcW w:w="562" w:type="pct"/>
            <w:vAlign w:val="center"/>
          </w:tcPr>
          <w:p>
            <w:pPr>
              <w:pStyle w:val="185"/>
              <w:spacing w:before="100"/>
              <w:rPr>
                <w:rFonts w:cs="Times New Roman"/>
              </w:rPr>
            </w:pPr>
            <w:r>
              <w:rPr>
                <w:rFonts w:cs="Times New Roman"/>
                <w:color w:val="000000"/>
              </w:rPr>
              <w:t>90.91%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汉族</w:t>
            </w:r>
          </w:p>
        </w:tc>
        <w:tc>
          <w:tcPr>
            <w:tcW w:w="672" w:type="pct"/>
            <w:shd w:val="clear" w:color="auto" w:fill="C7E2FA"/>
            <w:noWrap/>
            <w:vAlign w:val="center"/>
          </w:tcPr>
          <w:p>
            <w:pPr>
              <w:pStyle w:val="185"/>
              <w:spacing w:before="100"/>
              <w:rPr>
                <w:rFonts w:cs="Times New Roman"/>
                <w:color w:val="000000"/>
              </w:rPr>
            </w:pPr>
            <w:r>
              <w:rPr>
                <w:rFonts w:cs="Times New Roman"/>
                <w:color w:val="000000"/>
              </w:rPr>
              <w:t>2425</w:t>
            </w:r>
          </w:p>
        </w:tc>
        <w:tc>
          <w:tcPr>
            <w:tcW w:w="609" w:type="pct"/>
            <w:shd w:val="clear" w:color="auto" w:fill="C7E2FA"/>
            <w:noWrap/>
            <w:vAlign w:val="center"/>
          </w:tcPr>
          <w:p>
            <w:pPr>
              <w:pStyle w:val="185"/>
              <w:spacing w:before="100"/>
              <w:rPr>
                <w:rFonts w:cs="Times New Roman"/>
                <w:color w:val="000000"/>
              </w:rPr>
            </w:pPr>
            <w:r>
              <w:rPr>
                <w:rFonts w:cs="Times New Roman"/>
                <w:color w:val="000000"/>
              </w:rPr>
              <w:t>89.78%</w:t>
            </w:r>
          </w:p>
        </w:tc>
        <w:tc>
          <w:tcPr>
            <w:tcW w:w="672" w:type="pct"/>
            <w:shd w:val="clear" w:color="auto" w:fill="C7E2FA"/>
            <w:noWrap/>
            <w:vAlign w:val="center"/>
          </w:tcPr>
          <w:p>
            <w:pPr>
              <w:pStyle w:val="185"/>
              <w:spacing w:before="100"/>
              <w:rPr>
                <w:rFonts w:cs="Times New Roman"/>
              </w:rPr>
            </w:pPr>
            <w:r>
              <w:rPr>
                <w:rFonts w:cs="Times New Roman"/>
                <w:color w:val="000000"/>
              </w:rPr>
              <w:t>1506</w:t>
            </w:r>
          </w:p>
        </w:tc>
        <w:tc>
          <w:tcPr>
            <w:tcW w:w="562" w:type="pct"/>
            <w:shd w:val="clear" w:color="auto" w:fill="C7E2FA"/>
            <w:noWrap/>
            <w:vAlign w:val="center"/>
          </w:tcPr>
          <w:p>
            <w:pPr>
              <w:pStyle w:val="185"/>
              <w:spacing w:before="100"/>
              <w:rPr>
                <w:rFonts w:cs="Times New Roman"/>
              </w:rPr>
            </w:pPr>
            <w:r>
              <w:rPr>
                <w:rFonts w:cs="Times New Roman"/>
                <w:color w:val="000000"/>
              </w:rPr>
              <w:t>92.68%</w:t>
            </w:r>
          </w:p>
        </w:tc>
        <w:tc>
          <w:tcPr>
            <w:tcW w:w="646" w:type="pct"/>
            <w:shd w:val="clear" w:color="auto" w:fill="C7E2FA"/>
            <w:vAlign w:val="center"/>
          </w:tcPr>
          <w:p>
            <w:pPr>
              <w:pStyle w:val="185"/>
              <w:spacing w:before="100"/>
              <w:rPr>
                <w:rFonts w:cs="Times New Roman"/>
              </w:rPr>
            </w:pPr>
            <w:r>
              <w:rPr>
                <w:rFonts w:cs="Times New Roman"/>
                <w:color w:val="000000"/>
              </w:rPr>
              <w:t>3931</w:t>
            </w:r>
          </w:p>
        </w:tc>
        <w:tc>
          <w:tcPr>
            <w:tcW w:w="562" w:type="pct"/>
            <w:shd w:val="clear" w:color="auto" w:fill="C7E2FA"/>
            <w:vAlign w:val="center"/>
          </w:tcPr>
          <w:p>
            <w:pPr>
              <w:pStyle w:val="185"/>
              <w:spacing w:before="100"/>
              <w:rPr>
                <w:rFonts w:cs="Times New Roman"/>
              </w:rPr>
            </w:pPr>
            <w:r>
              <w:rPr>
                <w:rFonts w:cs="Times New Roman"/>
                <w:color w:val="000000"/>
              </w:rPr>
              <w:t>90.87%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壮族</w:t>
            </w:r>
          </w:p>
        </w:tc>
        <w:tc>
          <w:tcPr>
            <w:tcW w:w="672" w:type="pct"/>
            <w:noWrap/>
            <w:vAlign w:val="center"/>
          </w:tcPr>
          <w:p>
            <w:pPr>
              <w:pStyle w:val="185"/>
              <w:spacing w:before="100"/>
              <w:rPr>
                <w:rFonts w:cs="Times New Roman"/>
                <w:color w:val="000000"/>
              </w:rPr>
            </w:pPr>
            <w:r>
              <w:rPr>
                <w:rFonts w:cs="Times New Roman"/>
                <w:color w:val="000000"/>
              </w:rPr>
              <w:t>9</w:t>
            </w:r>
          </w:p>
        </w:tc>
        <w:tc>
          <w:tcPr>
            <w:tcW w:w="609" w:type="pct"/>
            <w:noWrap/>
            <w:vAlign w:val="center"/>
          </w:tcPr>
          <w:p>
            <w:pPr>
              <w:pStyle w:val="185"/>
              <w:spacing w:before="100"/>
              <w:rPr>
                <w:rFonts w:cs="Times New Roman"/>
                <w:color w:val="000000"/>
              </w:rPr>
            </w:pPr>
            <w:r>
              <w:rPr>
                <w:rFonts w:cs="Times New Roman"/>
                <w:color w:val="000000"/>
              </w:rPr>
              <w:t>100.00%</w:t>
            </w:r>
          </w:p>
        </w:tc>
        <w:tc>
          <w:tcPr>
            <w:tcW w:w="672" w:type="pct"/>
            <w:noWrap/>
            <w:vAlign w:val="center"/>
          </w:tcPr>
          <w:p>
            <w:pPr>
              <w:pStyle w:val="185"/>
              <w:spacing w:before="100"/>
              <w:rPr>
                <w:rFonts w:cs="Times New Roman"/>
              </w:rPr>
            </w:pPr>
            <w:r>
              <w:rPr>
                <w:rFonts w:cs="Times New Roman"/>
                <w:color w:val="000000"/>
              </w:rPr>
              <w:t>5</w:t>
            </w:r>
          </w:p>
        </w:tc>
        <w:tc>
          <w:tcPr>
            <w:tcW w:w="562" w:type="pct"/>
            <w:noWrap/>
            <w:vAlign w:val="center"/>
          </w:tcPr>
          <w:p>
            <w:pPr>
              <w:pStyle w:val="185"/>
              <w:spacing w:before="100"/>
              <w:rPr>
                <w:rFonts w:cs="Times New Roman"/>
              </w:rPr>
            </w:pPr>
            <w:r>
              <w:rPr>
                <w:rFonts w:cs="Times New Roman"/>
                <w:color w:val="000000"/>
              </w:rPr>
              <w:t>71.43%</w:t>
            </w:r>
          </w:p>
        </w:tc>
        <w:tc>
          <w:tcPr>
            <w:tcW w:w="646" w:type="pct"/>
            <w:vAlign w:val="center"/>
          </w:tcPr>
          <w:p>
            <w:pPr>
              <w:pStyle w:val="185"/>
              <w:spacing w:before="100"/>
              <w:rPr>
                <w:rFonts w:cs="Times New Roman"/>
              </w:rPr>
            </w:pPr>
            <w:r>
              <w:rPr>
                <w:rFonts w:cs="Times New Roman"/>
                <w:color w:val="000000"/>
              </w:rPr>
              <w:t>14</w:t>
            </w:r>
          </w:p>
        </w:tc>
        <w:tc>
          <w:tcPr>
            <w:tcW w:w="562" w:type="pct"/>
            <w:vAlign w:val="center"/>
          </w:tcPr>
          <w:p>
            <w:pPr>
              <w:pStyle w:val="185"/>
              <w:spacing w:before="100"/>
              <w:rPr>
                <w:rFonts w:cs="Times New Roman"/>
              </w:rPr>
            </w:pPr>
            <w:r>
              <w:rPr>
                <w:rFonts w:cs="Times New Roman"/>
                <w:color w:val="000000"/>
              </w:rPr>
              <w:t>87.50%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满族</w:t>
            </w:r>
          </w:p>
        </w:tc>
        <w:tc>
          <w:tcPr>
            <w:tcW w:w="672" w:type="pct"/>
            <w:shd w:val="clear" w:color="auto" w:fill="C7E2FA"/>
            <w:noWrap/>
            <w:vAlign w:val="center"/>
          </w:tcPr>
          <w:p>
            <w:pPr>
              <w:pStyle w:val="185"/>
              <w:spacing w:before="100"/>
              <w:rPr>
                <w:rFonts w:cs="Times New Roman"/>
              </w:rPr>
            </w:pPr>
            <w:r>
              <w:rPr>
                <w:rFonts w:cs="Times New Roman"/>
              </w:rPr>
              <w:t>6</w:t>
            </w:r>
          </w:p>
        </w:tc>
        <w:tc>
          <w:tcPr>
            <w:tcW w:w="609" w:type="pct"/>
            <w:shd w:val="clear" w:color="auto" w:fill="C7E2FA"/>
            <w:noWrap/>
            <w:vAlign w:val="center"/>
          </w:tcPr>
          <w:p>
            <w:pPr>
              <w:pStyle w:val="185"/>
              <w:spacing w:before="100"/>
              <w:rPr>
                <w:rFonts w:cs="Times New Roman"/>
                <w:color w:val="000000"/>
              </w:rPr>
            </w:pPr>
            <w:r>
              <w:rPr>
                <w:rFonts w:cs="Times New Roman"/>
                <w:color w:val="000000"/>
              </w:rPr>
              <w:t>85.71%</w:t>
            </w:r>
          </w:p>
        </w:tc>
        <w:tc>
          <w:tcPr>
            <w:tcW w:w="672" w:type="pct"/>
            <w:shd w:val="clear" w:color="auto" w:fill="C7E2FA"/>
            <w:noWrap/>
            <w:vAlign w:val="center"/>
          </w:tcPr>
          <w:p>
            <w:pPr>
              <w:pStyle w:val="185"/>
              <w:spacing w:before="100"/>
              <w:rPr>
                <w:rFonts w:cs="Times New Roman"/>
              </w:rPr>
            </w:pPr>
            <w:r>
              <w:rPr>
                <w:rFonts w:cs="Times New Roman"/>
                <w:color w:val="000000"/>
              </w:rPr>
              <w:t>1</w:t>
            </w:r>
          </w:p>
        </w:tc>
        <w:tc>
          <w:tcPr>
            <w:tcW w:w="562" w:type="pct"/>
            <w:shd w:val="clear" w:color="auto" w:fill="C7E2FA"/>
            <w:noWrap/>
            <w:vAlign w:val="center"/>
          </w:tcPr>
          <w:p>
            <w:pPr>
              <w:pStyle w:val="185"/>
              <w:spacing w:before="100"/>
              <w:rPr>
                <w:rFonts w:cs="Times New Roman"/>
              </w:rPr>
            </w:pPr>
            <w:r>
              <w:rPr>
                <w:rFonts w:cs="Times New Roman"/>
                <w:color w:val="000000"/>
              </w:rPr>
              <w:t>100.00%</w:t>
            </w:r>
          </w:p>
        </w:tc>
        <w:tc>
          <w:tcPr>
            <w:tcW w:w="646" w:type="pct"/>
            <w:shd w:val="clear" w:color="auto" w:fill="C7E2FA"/>
            <w:vAlign w:val="center"/>
          </w:tcPr>
          <w:p>
            <w:pPr>
              <w:pStyle w:val="185"/>
              <w:spacing w:before="100"/>
              <w:rPr>
                <w:rFonts w:cs="Times New Roman"/>
              </w:rPr>
            </w:pPr>
            <w:r>
              <w:rPr>
                <w:rFonts w:cs="Times New Roman"/>
                <w:color w:val="000000"/>
              </w:rPr>
              <w:t>7</w:t>
            </w:r>
          </w:p>
        </w:tc>
        <w:tc>
          <w:tcPr>
            <w:tcW w:w="562" w:type="pct"/>
            <w:shd w:val="clear" w:color="auto" w:fill="C7E2FA"/>
            <w:vAlign w:val="center"/>
          </w:tcPr>
          <w:p>
            <w:pPr>
              <w:pStyle w:val="185"/>
              <w:spacing w:before="100"/>
              <w:rPr>
                <w:rFonts w:cs="Times New Roman"/>
              </w:rPr>
            </w:pPr>
            <w:r>
              <w:rPr>
                <w:rFonts w:cs="Times New Roman"/>
                <w:color w:val="000000"/>
              </w:rPr>
              <w:t>87.50%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藏族</w:t>
            </w:r>
          </w:p>
        </w:tc>
        <w:tc>
          <w:tcPr>
            <w:tcW w:w="672" w:type="pct"/>
            <w:noWrap/>
            <w:vAlign w:val="center"/>
          </w:tcPr>
          <w:p>
            <w:pPr>
              <w:pStyle w:val="185"/>
              <w:spacing w:before="100"/>
              <w:rPr>
                <w:rFonts w:cs="Times New Roman"/>
              </w:rPr>
            </w:pPr>
            <w:r>
              <w:rPr>
                <w:rFonts w:cs="Times New Roman"/>
              </w:rPr>
              <w:t>13</w:t>
            </w:r>
          </w:p>
        </w:tc>
        <w:tc>
          <w:tcPr>
            <w:tcW w:w="609" w:type="pct"/>
            <w:noWrap/>
            <w:vAlign w:val="center"/>
          </w:tcPr>
          <w:p>
            <w:pPr>
              <w:pStyle w:val="185"/>
              <w:spacing w:before="100"/>
              <w:rPr>
                <w:rFonts w:cs="Times New Roman"/>
                <w:color w:val="000000"/>
              </w:rPr>
            </w:pPr>
            <w:r>
              <w:rPr>
                <w:rFonts w:cs="Times New Roman"/>
                <w:color w:val="000000"/>
              </w:rPr>
              <w:t>86.67%</w:t>
            </w:r>
          </w:p>
        </w:tc>
        <w:tc>
          <w:tcPr>
            <w:tcW w:w="672" w:type="pct"/>
            <w:noWrap/>
            <w:vAlign w:val="center"/>
          </w:tcPr>
          <w:p>
            <w:pPr>
              <w:pStyle w:val="185"/>
              <w:spacing w:before="100"/>
              <w:rPr>
                <w:rFonts w:cs="Times New Roman"/>
              </w:rPr>
            </w:pPr>
            <w:r>
              <w:rPr>
                <w:rFonts w:cs="Times New Roman"/>
              </w:rPr>
              <w:t>-</w:t>
            </w:r>
          </w:p>
        </w:tc>
        <w:tc>
          <w:tcPr>
            <w:tcW w:w="562" w:type="pct"/>
            <w:noWrap/>
            <w:vAlign w:val="center"/>
          </w:tcPr>
          <w:p>
            <w:pPr>
              <w:pStyle w:val="185"/>
              <w:spacing w:before="100"/>
              <w:rPr>
                <w:rFonts w:cs="Times New Roman"/>
              </w:rPr>
            </w:pPr>
            <w:r>
              <w:rPr>
                <w:rFonts w:cs="Times New Roman"/>
              </w:rPr>
              <w:t>-</w:t>
            </w:r>
          </w:p>
        </w:tc>
        <w:tc>
          <w:tcPr>
            <w:tcW w:w="646" w:type="pct"/>
            <w:vAlign w:val="center"/>
          </w:tcPr>
          <w:p>
            <w:pPr>
              <w:pStyle w:val="185"/>
              <w:spacing w:before="100"/>
              <w:rPr>
                <w:rFonts w:cs="Times New Roman"/>
              </w:rPr>
            </w:pPr>
            <w:r>
              <w:rPr>
                <w:rFonts w:cs="Times New Roman"/>
                <w:color w:val="000000"/>
              </w:rPr>
              <w:t>13</w:t>
            </w:r>
          </w:p>
        </w:tc>
        <w:tc>
          <w:tcPr>
            <w:tcW w:w="562" w:type="pct"/>
            <w:vAlign w:val="center"/>
          </w:tcPr>
          <w:p>
            <w:pPr>
              <w:pStyle w:val="185"/>
              <w:spacing w:before="100"/>
              <w:rPr>
                <w:rFonts w:cs="Times New Roman"/>
              </w:rPr>
            </w:pPr>
            <w:r>
              <w:rPr>
                <w:rFonts w:cs="Times New Roman"/>
                <w:color w:val="000000"/>
              </w:rPr>
              <w:t>86.67%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蒙古族</w:t>
            </w:r>
          </w:p>
        </w:tc>
        <w:tc>
          <w:tcPr>
            <w:tcW w:w="672" w:type="pct"/>
            <w:shd w:val="clear" w:color="auto" w:fill="C7E2FA"/>
            <w:noWrap/>
            <w:vAlign w:val="center"/>
          </w:tcPr>
          <w:p>
            <w:pPr>
              <w:pStyle w:val="185"/>
              <w:spacing w:before="100"/>
              <w:rPr>
                <w:rFonts w:cs="Times New Roman"/>
              </w:rPr>
            </w:pPr>
            <w:r>
              <w:rPr>
                <w:rFonts w:cs="Times New Roman"/>
              </w:rPr>
              <w:t>3</w:t>
            </w:r>
          </w:p>
        </w:tc>
        <w:tc>
          <w:tcPr>
            <w:tcW w:w="609" w:type="pct"/>
            <w:shd w:val="clear" w:color="auto" w:fill="C7E2FA"/>
            <w:noWrap/>
            <w:vAlign w:val="center"/>
          </w:tcPr>
          <w:p>
            <w:pPr>
              <w:pStyle w:val="185"/>
              <w:spacing w:before="100"/>
              <w:rPr>
                <w:rFonts w:cs="Times New Roman"/>
                <w:color w:val="000000"/>
              </w:rPr>
            </w:pPr>
            <w:r>
              <w:rPr>
                <w:rFonts w:cs="Times New Roman"/>
                <w:color w:val="000000"/>
              </w:rPr>
              <w:t>75.00%</w:t>
            </w:r>
          </w:p>
        </w:tc>
        <w:tc>
          <w:tcPr>
            <w:tcW w:w="672" w:type="pct"/>
            <w:shd w:val="clear" w:color="auto" w:fill="C7E2FA"/>
            <w:noWrap/>
            <w:vAlign w:val="center"/>
          </w:tcPr>
          <w:p>
            <w:pPr>
              <w:pStyle w:val="185"/>
              <w:spacing w:before="100"/>
              <w:rPr>
                <w:rFonts w:cs="Times New Roman"/>
              </w:rPr>
            </w:pPr>
            <w:r>
              <w:rPr>
                <w:rFonts w:cs="Times New Roman"/>
                <w:color w:val="000000"/>
              </w:rPr>
              <w:t>3</w:t>
            </w:r>
          </w:p>
        </w:tc>
        <w:tc>
          <w:tcPr>
            <w:tcW w:w="562" w:type="pct"/>
            <w:shd w:val="clear" w:color="auto" w:fill="C7E2FA"/>
            <w:noWrap/>
            <w:vAlign w:val="center"/>
          </w:tcPr>
          <w:p>
            <w:pPr>
              <w:pStyle w:val="185"/>
              <w:spacing w:before="100"/>
              <w:rPr>
                <w:rFonts w:cs="Times New Roman"/>
              </w:rPr>
            </w:pPr>
            <w:r>
              <w:rPr>
                <w:rFonts w:cs="Times New Roman"/>
                <w:color w:val="000000"/>
              </w:rPr>
              <w:t>100.00%</w:t>
            </w:r>
          </w:p>
        </w:tc>
        <w:tc>
          <w:tcPr>
            <w:tcW w:w="646" w:type="pct"/>
            <w:shd w:val="clear" w:color="auto" w:fill="C7E2FA"/>
            <w:vAlign w:val="center"/>
          </w:tcPr>
          <w:p>
            <w:pPr>
              <w:pStyle w:val="185"/>
              <w:spacing w:before="100"/>
              <w:rPr>
                <w:rFonts w:cs="Times New Roman"/>
              </w:rPr>
            </w:pPr>
            <w:r>
              <w:rPr>
                <w:rFonts w:cs="Times New Roman"/>
                <w:color w:val="000000"/>
              </w:rPr>
              <w:t>6</w:t>
            </w:r>
          </w:p>
        </w:tc>
        <w:tc>
          <w:tcPr>
            <w:tcW w:w="562" w:type="pct"/>
            <w:shd w:val="clear" w:color="auto" w:fill="C7E2FA"/>
            <w:vAlign w:val="center"/>
          </w:tcPr>
          <w:p>
            <w:pPr>
              <w:pStyle w:val="185"/>
              <w:spacing w:before="100"/>
              <w:rPr>
                <w:rFonts w:cs="Times New Roman"/>
              </w:rPr>
            </w:pPr>
            <w:r>
              <w:rPr>
                <w:rFonts w:cs="Times New Roman"/>
                <w:color w:val="000000"/>
              </w:rPr>
              <w:t>85.71%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布依族</w:t>
            </w:r>
          </w:p>
        </w:tc>
        <w:tc>
          <w:tcPr>
            <w:tcW w:w="672" w:type="pct"/>
            <w:noWrap/>
            <w:vAlign w:val="center"/>
          </w:tcPr>
          <w:p>
            <w:pPr>
              <w:pStyle w:val="185"/>
              <w:spacing w:before="100"/>
              <w:rPr>
                <w:rFonts w:cs="Times New Roman"/>
              </w:rPr>
            </w:pPr>
            <w:r>
              <w:rPr>
                <w:rFonts w:cs="Times New Roman"/>
              </w:rPr>
              <w:t>12</w:t>
            </w:r>
          </w:p>
        </w:tc>
        <w:tc>
          <w:tcPr>
            <w:tcW w:w="609" w:type="pct"/>
            <w:noWrap/>
            <w:vAlign w:val="center"/>
          </w:tcPr>
          <w:p>
            <w:pPr>
              <w:pStyle w:val="185"/>
              <w:spacing w:before="100"/>
              <w:rPr>
                <w:rFonts w:cs="Times New Roman"/>
                <w:color w:val="000000"/>
              </w:rPr>
            </w:pPr>
            <w:r>
              <w:rPr>
                <w:rFonts w:cs="Times New Roman"/>
                <w:color w:val="000000"/>
              </w:rPr>
              <w:t>80.00%</w:t>
            </w:r>
          </w:p>
        </w:tc>
        <w:tc>
          <w:tcPr>
            <w:tcW w:w="672" w:type="pct"/>
            <w:noWrap/>
            <w:vAlign w:val="center"/>
          </w:tcPr>
          <w:p>
            <w:pPr>
              <w:pStyle w:val="185"/>
              <w:spacing w:before="100"/>
              <w:rPr>
                <w:rFonts w:cs="Times New Roman"/>
              </w:rPr>
            </w:pPr>
            <w:r>
              <w:rPr>
                <w:rFonts w:cs="Times New Roman"/>
                <w:color w:val="000000"/>
              </w:rPr>
              <w:t>5</w:t>
            </w:r>
          </w:p>
        </w:tc>
        <w:tc>
          <w:tcPr>
            <w:tcW w:w="562" w:type="pct"/>
            <w:noWrap/>
            <w:vAlign w:val="center"/>
          </w:tcPr>
          <w:p>
            <w:pPr>
              <w:pStyle w:val="185"/>
              <w:spacing w:before="100"/>
              <w:rPr>
                <w:rFonts w:cs="Times New Roman"/>
              </w:rPr>
            </w:pPr>
            <w:r>
              <w:rPr>
                <w:rFonts w:cs="Times New Roman"/>
                <w:color w:val="000000"/>
              </w:rPr>
              <w:t>100.00%</w:t>
            </w:r>
          </w:p>
        </w:tc>
        <w:tc>
          <w:tcPr>
            <w:tcW w:w="646" w:type="pct"/>
            <w:vAlign w:val="center"/>
          </w:tcPr>
          <w:p>
            <w:pPr>
              <w:pStyle w:val="185"/>
              <w:spacing w:before="100"/>
              <w:rPr>
                <w:rFonts w:cs="Times New Roman"/>
              </w:rPr>
            </w:pPr>
            <w:r>
              <w:rPr>
                <w:rFonts w:cs="Times New Roman"/>
                <w:color w:val="000000"/>
              </w:rPr>
              <w:t>17</w:t>
            </w:r>
          </w:p>
        </w:tc>
        <w:tc>
          <w:tcPr>
            <w:tcW w:w="562" w:type="pct"/>
            <w:vAlign w:val="center"/>
          </w:tcPr>
          <w:p>
            <w:pPr>
              <w:pStyle w:val="185"/>
              <w:spacing w:before="100"/>
              <w:rPr>
                <w:rFonts w:cs="Times New Roman"/>
              </w:rPr>
            </w:pPr>
            <w:r>
              <w:rPr>
                <w:rFonts w:cs="Times New Roman"/>
                <w:color w:val="000000"/>
              </w:rPr>
              <w:t>85.00%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苗族</w:t>
            </w:r>
          </w:p>
        </w:tc>
        <w:tc>
          <w:tcPr>
            <w:tcW w:w="672" w:type="pct"/>
            <w:shd w:val="clear" w:color="auto" w:fill="C7E2FA"/>
            <w:noWrap/>
            <w:vAlign w:val="center"/>
          </w:tcPr>
          <w:p>
            <w:pPr>
              <w:pStyle w:val="185"/>
              <w:spacing w:before="100"/>
              <w:rPr>
                <w:rFonts w:cs="Times New Roman"/>
              </w:rPr>
            </w:pPr>
            <w:r>
              <w:rPr>
                <w:rFonts w:cs="Times New Roman"/>
              </w:rPr>
              <w:t>19</w:t>
            </w:r>
          </w:p>
        </w:tc>
        <w:tc>
          <w:tcPr>
            <w:tcW w:w="609" w:type="pct"/>
            <w:shd w:val="clear" w:color="auto" w:fill="C7E2FA"/>
            <w:noWrap/>
            <w:vAlign w:val="center"/>
          </w:tcPr>
          <w:p>
            <w:pPr>
              <w:pStyle w:val="185"/>
              <w:spacing w:before="100"/>
              <w:rPr>
                <w:rFonts w:cs="Times New Roman"/>
                <w:color w:val="000000"/>
              </w:rPr>
            </w:pPr>
            <w:r>
              <w:rPr>
                <w:rFonts w:cs="Times New Roman"/>
                <w:color w:val="000000"/>
              </w:rPr>
              <w:t>76.00%</w:t>
            </w:r>
          </w:p>
        </w:tc>
        <w:tc>
          <w:tcPr>
            <w:tcW w:w="672" w:type="pct"/>
            <w:shd w:val="clear" w:color="auto" w:fill="C7E2FA"/>
            <w:noWrap/>
            <w:vAlign w:val="center"/>
          </w:tcPr>
          <w:p>
            <w:pPr>
              <w:pStyle w:val="185"/>
              <w:spacing w:before="100"/>
              <w:rPr>
                <w:rFonts w:cs="Times New Roman"/>
              </w:rPr>
            </w:pPr>
            <w:r>
              <w:rPr>
                <w:rFonts w:cs="Times New Roman"/>
                <w:color w:val="000000"/>
              </w:rPr>
              <w:t>14</w:t>
            </w:r>
          </w:p>
        </w:tc>
        <w:tc>
          <w:tcPr>
            <w:tcW w:w="562" w:type="pct"/>
            <w:shd w:val="clear" w:color="auto" w:fill="C7E2FA"/>
            <w:noWrap/>
            <w:vAlign w:val="center"/>
          </w:tcPr>
          <w:p>
            <w:pPr>
              <w:pStyle w:val="185"/>
              <w:spacing w:before="100"/>
              <w:rPr>
                <w:rFonts w:cs="Times New Roman"/>
              </w:rPr>
            </w:pPr>
            <w:r>
              <w:rPr>
                <w:rFonts w:cs="Times New Roman"/>
                <w:color w:val="000000"/>
              </w:rPr>
              <w:t>93.33%</w:t>
            </w:r>
          </w:p>
        </w:tc>
        <w:tc>
          <w:tcPr>
            <w:tcW w:w="646" w:type="pct"/>
            <w:shd w:val="clear" w:color="auto" w:fill="C7E2FA"/>
            <w:vAlign w:val="center"/>
          </w:tcPr>
          <w:p>
            <w:pPr>
              <w:pStyle w:val="185"/>
              <w:spacing w:before="100"/>
              <w:rPr>
                <w:rFonts w:cs="Times New Roman"/>
              </w:rPr>
            </w:pPr>
            <w:r>
              <w:rPr>
                <w:rFonts w:cs="Times New Roman"/>
                <w:color w:val="000000"/>
              </w:rPr>
              <w:t>33</w:t>
            </w:r>
          </w:p>
        </w:tc>
        <w:tc>
          <w:tcPr>
            <w:tcW w:w="562" w:type="pct"/>
            <w:shd w:val="clear" w:color="auto" w:fill="C7E2FA"/>
            <w:vAlign w:val="center"/>
          </w:tcPr>
          <w:p>
            <w:pPr>
              <w:pStyle w:val="185"/>
              <w:spacing w:before="100"/>
              <w:rPr>
                <w:rFonts w:cs="Times New Roman"/>
              </w:rPr>
            </w:pPr>
            <w:r>
              <w:rPr>
                <w:rFonts w:cs="Times New Roman"/>
                <w:color w:val="000000"/>
              </w:rPr>
              <w:t>82.50%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回族</w:t>
            </w:r>
          </w:p>
        </w:tc>
        <w:tc>
          <w:tcPr>
            <w:tcW w:w="672" w:type="pct"/>
            <w:noWrap/>
            <w:vAlign w:val="center"/>
          </w:tcPr>
          <w:p>
            <w:pPr>
              <w:pStyle w:val="185"/>
              <w:spacing w:before="100"/>
              <w:rPr>
                <w:rFonts w:cs="Times New Roman"/>
              </w:rPr>
            </w:pPr>
            <w:r>
              <w:rPr>
                <w:rFonts w:cs="Times New Roman"/>
              </w:rPr>
              <w:t>10</w:t>
            </w:r>
          </w:p>
        </w:tc>
        <w:tc>
          <w:tcPr>
            <w:tcW w:w="609" w:type="pct"/>
            <w:noWrap/>
            <w:vAlign w:val="center"/>
          </w:tcPr>
          <w:p>
            <w:pPr>
              <w:pStyle w:val="185"/>
              <w:spacing w:before="100"/>
              <w:rPr>
                <w:rFonts w:cs="Times New Roman"/>
                <w:color w:val="000000"/>
              </w:rPr>
            </w:pPr>
            <w:r>
              <w:rPr>
                <w:rFonts w:cs="Times New Roman"/>
                <w:color w:val="000000"/>
              </w:rPr>
              <w:t>76.92%</w:t>
            </w:r>
          </w:p>
        </w:tc>
        <w:tc>
          <w:tcPr>
            <w:tcW w:w="672" w:type="pct"/>
            <w:noWrap/>
            <w:vAlign w:val="center"/>
          </w:tcPr>
          <w:p>
            <w:pPr>
              <w:pStyle w:val="185"/>
              <w:spacing w:before="100"/>
              <w:rPr>
                <w:rFonts w:cs="Times New Roman"/>
              </w:rPr>
            </w:pPr>
            <w:r>
              <w:rPr>
                <w:rFonts w:cs="Times New Roman"/>
                <w:color w:val="000000"/>
              </w:rPr>
              <w:t>13</w:t>
            </w:r>
          </w:p>
        </w:tc>
        <w:tc>
          <w:tcPr>
            <w:tcW w:w="562" w:type="pct"/>
            <w:noWrap/>
            <w:vAlign w:val="center"/>
          </w:tcPr>
          <w:p>
            <w:pPr>
              <w:pStyle w:val="185"/>
              <w:spacing w:before="100"/>
              <w:rPr>
                <w:rFonts w:cs="Times New Roman"/>
              </w:rPr>
            </w:pPr>
            <w:r>
              <w:rPr>
                <w:rFonts w:cs="Times New Roman"/>
                <w:color w:val="000000"/>
              </w:rPr>
              <w:t>86.67%</w:t>
            </w:r>
          </w:p>
        </w:tc>
        <w:tc>
          <w:tcPr>
            <w:tcW w:w="646" w:type="pct"/>
            <w:vAlign w:val="center"/>
          </w:tcPr>
          <w:p>
            <w:pPr>
              <w:pStyle w:val="185"/>
              <w:spacing w:before="100"/>
              <w:rPr>
                <w:rFonts w:cs="Times New Roman"/>
              </w:rPr>
            </w:pPr>
            <w:r>
              <w:rPr>
                <w:rFonts w:cs="Times New Roman"/>
                <w:color w:val="000000"/>
              </w:rPr>
              <w:t>23</w:t>
            </w:r>
          </w:p>
        </w:tc>
        <w:tc>
          <w:tcPr>
            <w:tcW w:w="562" w:type="pct"/>
            <w:vAlign w:val="center"/>
          </w:tcPr>
          <w:p>
            <w:pPr>
              <w:pStyle w:val="185"/>
              <w:spacing w:before="100"/>
              <w:rPr>
                <w:rFonts w:cs="Times New Roman"/>
              </w:rPr>
            </w:pPr>
            <w:r>
              <w:rPr>
                <w:rFonts w:cs="Times New Roman"/>
                <w:color w:val="000000"/>
              </w:rPr>
              <w:t>82.14%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shd w:val="clear" w:color="auto" w:fill="C7E2FA"/>
            <w:noWrap/>
            <w:vAlign w:val="center"/>
          </w:tcPr>
          <w:p>
            <w:pPr>
              <w:pStyle w:val="185"/>
              <w:spacing w:before="100"/>
              <w:rPr>
                <w:rFonts w:cs="Times New Roman"/>
                <w:b w:val="0"/>
                <w:bCs w:val="0"/>
                <w:color w:val="000000"/>
              </w:rPr>
            </w:pPr>
            <w:r>
              <w:rPr>
                <w:rFonts w:cs="Times New Roman"/>
                <w:b w:val="0"/>
                <w:bCs w:val="0"/>
                <w:color w:val="000000"/>
              </w:rPr>
              <w:t>彝族</w:t>
            </w:r>
          </w:p>
        </w:tc>
        <w:tc>
          <w:tcPr>
            <w:tcW w:w="672" w:type="pct"/>
            <w:shd w:val="clear" w:color="auto" w:fill="C7E2FA"/>
            <w:noWrap/>
            <w:vAlign w:val="center"/>
          </w:tcPr>
          <w:p>
            <w:pPr>
              <w:pStyle w:val="185"/>
              <w:spacing w:before="100"/>
              <w:rPr>
                <w:rFonts w:cs="Times New Roman"/>
                <w:color w:val="000000"/>
              </w:rPr>
            </w:pPr>
            <w:r>
              <w:rPr>
                <w:rFonts w:cs="Times New Roman"/>
                <w:color w:val="000000"/>
              </w:rPr>
              <w:t>3</w:t>
            </w:r>
          </w:p>
        </w:tc>
        <w:tc>
          <w:tcPr>
            <w:tcW w:w="609" w:type="pct"/>
            <w:shd w:val="clear" w:color="auto" w:fill="C7E2FA"/>
            <w:noWrap/>
            <w:vAlign w:val="center"/>
          </w:tcPr>
          <w:p>
            <w:pPr>
              <w:pStyle w:val="185"/>
              <w:spacing w:before="100"/>
              <w:rPr>
                <w:rFonts w:cs="Times New Roman"/>
                <w:color w:val="000000"/>
              </w:rPr>
            </w:pPr>
            <w:r>
              <w:rPr>
                <w:rFonts w:cs="Times New Roman"/>
                <w:color w:val="000000"/>
              </w:rPr>
              <w:t>60.00%</w:t>
            </w:r>
          </w:p>
        </w:tc>
        <w:tc>
          <w:tcPr>
            <w:tcW w:w="672" w:type="pct"/>
            <w:shd w:val="clear" w:color="auto" w:fill="C7E2FA"/>
            <w:noWrap/>
            <w:vAlign w:val="center"/>
          </w:tcPr>
          <w:p>
            <w:pPr>
              <w:pStyle w:val="185"/>
              <w:spacing w:before="100"/>
              <w:rPr>
                <w:rFonts w:cs="Times New Roman"/>
              </w:rPr>
            </w:pPr>
            <w:r>
              <w:rPr>
                <w:rFonts w:cs="Times New Roman"/>
                <w:color w:val="000000"/>
              </w:rPr>
              <w:t>3</w:t>
            </w:r>
          </w:p>
        </w:tc>
        <w:tc>
          <w:tcPr>
            <w:tcW w:w="562" w:type="pct"/>
            <w:shd w:val="clear" w:color="auto" w:fill="C7E2FA"/>
            <w:noWrap/>
            <w:vAlign w:val="center"/>
          </w:tcPr>
          <w:p>
            <w:pPr>
              <w:pStyle w:val="185"/>
              <w:spacing w:before="100"/>
              <w:rPr>
                <w:rFonts w:cs="Times New Roman"/>
              </w:rPr>
            </w:pPr>
            <w:r>
              <w:rPr>
                <w:rFonts w:cs="Times New Roman"/>
                <w:color w:val="000000"/>
              </w:rPr>
              <w:t>100.00%</w:t>
            </w:r>
          </w:p>
        </w:tc>
        <w:tc>
          <w:tcPr>
            <w:tcW w:w="646" w:type="pct"/>
            <w:shd w:val="clear" w:color="auto" w:fill="C7E2FA"/>
            <w:vAlign w:val="center"/>
          </w:tcPr>
          <w:p>
            <w:pPr>
              <w:pStyle w:val="185"/>
              <w:spacing w:before="100"/>
              <w:rPr>
                <w:rFonts w:cs="Times New Roman"/>
              </w:rPr>
            </w:pPr>
            <w:r>
              <w:rPr>
                <w:rFonts w:cs="Times New Roman"/>
                <w:color w:val="000000"/>
              </w:rPr>
              <w:t>6</w:t>
            </w:r>
          </w:p>
        </w:tc>
        <w:tc>
          <w:tcPr>
            <w:tcW w:w="562" w:type="pct"/>
            <w:shd w:val="clear" w:color="auto" w:fill="C7E2FA"/>
            <w:vAlign w:val="center"/>
          </w:tcPr>
          <w:p>
            <w:pPr>
              <w:pStyle w:val="185"/>
              <w:spacing w:before="100"/>
              <w:rPr>
                <w:rFonts w:cs="Times New Roman"/>
              </w:rPr>
            </w:pPr>
            <w:r>
              <w:rPr>
                <w:rFonts w:cs="Times New Roman"/>
                <w:color w:val="000000"/>
              </w:rPr>
              <w:t>75.00%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76" w:type="pct"/>
            <w:noWrap/>
            <w:vAlign w:val="center"/>
          </w:tcPr>
          <w:p>
            <w:pPr>
              <w:pStyle w:val="185"/>
              <w:spacing w:before="100"/>
              <w:rPr>
                <w:rFonts w:cs="Times New Roman"/>
                <w:b w:val="0"/>
                <w:bCs w:val="0"/>
                <w:color w:val="000000"/>
              </w:rPr>
            </w:pPr>
            <w:r>
              <w:rPr>
                <w:rFonts w:cs="Times New Roman"/>
                <w:b w:val="0"/>
                <w:bCs w:val="0"/>
                <w:color w:val="000000"/>
              </w:rPr>
              <w:t>东乡族</w:t>
            </w:r>
          </w:p>
        </w:tc>
        <w:tc>
          <w:tcPr>
            <w:tcW w:w="672" w:type="pct"/>
            <w:noWrap/>
            <w:vAlign w:val="center"/>
          </w:tcPr>
          <w:p>
            <w:pPr>
              <w:pStyle w:val="185"/>
              <w:spacing w:before="100"/>
              <w:rPr>
                <w:rFonts w:cs="Times New Roman"/>
              </w:rPr>
            </w:pPr>
            <w:r>
              <w:rPr>
                <w:rFonts w:cs="Times New Roman"/>
              </w:rPr>
              <w:t>-</w:t>
            </w:r>
          </w:p>
        </w:tc>
        <w:tc>
          <w:tcPr>
            <w:tcW w:w="609" w:type="pct"/>
            <w:noWrap/>
            <w:vAlign w:val="center"/>
          </w:tcPr>
          <w:p>
            <w:pPr>
              <w:pStyle w:val="185"/>
              <w:spacing w:before="100"/>
              <w:rPr>
                <w:rFonts w:cs="Times New Roman"/>
              </w:rPr>
            </w:pPr>
            <w:r>
              <w:rPr>
                <w:rFonts w:cs="Times New Roman"/>
              </w:rPr>
              <w:t>-</w:t>
            </w:r>
          </w:p>
        </w:tc>
        <w:tc>
          <w:tcPr>
            <w:tcW w:w="672" w:type="pct"/>
            <w:noWrap/>
            <w:vAlign w:val="center"/>
          </w:tcPr>
          <w:p>
            <w:pPr>
              <w:pStyle w:val="185"/>
              <w:spacing w:before="100"/>
              <w:rPr>
                <w:rFonts w:cs="Times New Roman"/>
              </w:rPr>
            </w:pPr>
            <w:r>
              <w:rPr>
                <w:rFonts w:cs="Times New Roman"/>
              </w:rPr>
              <w:t>-</w:t>
            </w:r>
          </w:p>
        </w:tc>
        <w:tc>
          <w:tcPr>
            <w:tcW w:w="562" w:type="pct"/>
            <w:noWrap/>
            <w:vAlign w:val="center"/>
          </w:tcPr>
          <w:p>
            <w:pPr>
              <w:pStyle w:val="185"/>
              <w:spacing w:before="100"/>
              <w:rPr>
                <w:rFonts w:cs="Times New Roman"/>
              </w:rPr>
            </w:pPr>
            <w:r>
              <w:rPr>
                <w:rFonts w:cs="Times New Roman"/>
              </w:rPr>
              <w:t>-</w:t>
            </w:r>
          </w:p>
        </w:tc>
        <w:tc>
          <w:tcPr>
            <w:tcW w:w="646" w:type="pct"/>
            <w:vAlign w:val="center"/>
          </w:tcPr>
          <w:p>
            <w:pPr>
              <w:pStyle w:val="185"/>
              <w:spacing w:before="100"/>
              <w:rPr>
                <w:rFonts w:cs="Times New Roman"/>
              </w:rPr>
            </w:pPr>
            <w:r>
              <w:rPr>
                <w:rFonts w:cs="Times New Roman"/>
              </w:rPr>
              <w:t>-</w:t>
            </w:r>
          </w:p>
        </w:tc>
        <w:tc>
          <w:tcPr>
            <w:tcW w:w="562" w:type="pct"/>
            <w:vAlign w:val="center"/>
          </w:tcPr>
          <w:p>
            <w:pPr>
              <w:pStyle w:val="185"/>
              <w:spacing w:before="100"/>
              <w:rPr>
                <w:rFonts w:cs="Times New Roman"/>
              </w:rPr>
            </w:pPr>
            <w:r>
              <w:rPr>
                <w:rFonts w:cs="Times New Roman"/>
              </w:rPr>
              <w:t>0.00%</w:t>
            </w:r>
          </w:p>
        </w:tc>
      </w:tr>
    </w:tbl>
    <w:p>
      <w:pPr>
        <w:pStyle w:val="63"/>
        <w:spacing w:beforeLines="0" w:after="156"/>
        <w:ind w:firstLine="360"/>
        <w:rPr>
          <w:color w:val="0F6FC6" w:themeColor="accent5"/>
          <w:sz w:val="18"/>
          <w:szCs w:val="18"/>
          <w14:textFill>
            <w14:solidFill>
              <w14:schemeClr w14:val="accent5"/>
            </w14:solidFill>
          </w14:textFill>
        </w:rPr>
      </w:pPr>
      <w:r>
        <w:rPr>
          <w:rFonts w:hint="eastAsia"/>
          <w:color w:val="0F6FC6" w:themeColor="accent5"/>
          <w:sz w:val="18"/>
          <w:szCs w:val="18"/>
          <w14:textFill>
            <w14:solidFill>
              <w14:schemeClr w14:val="accent5"/>
            </w14:solidFill>
          </w14:textFill>
        </w:rPr>
        <w:t>数据来源：湖北省高校毕业生就业办公系统。</w:t>
      </w:r>
    </w:p>
    <w:p>
      <w:pPr>
        <w:pStyle w:val="178"/>
        <w:spacing w:before="156"/>
        <w:ind w:firstLine="482"/>
      </w:pPr>
      <w:r>
        <w:rPr>
          <w:rFonts w:hint="eastAsia"/>
          <w:b/>
          <w:color w:val="0F6FC6" w:themeColor="accent5"/>
          <w14:textFill>
            <w14:solidFill>
              <w14:schemeClr w14:val="accent5"/>
            </w14:solidFill>
          </w14:textFill>
        </w:rPr>
        <w:t>困难生：</w:t>
      </w:r>
      <w:r>
        <w:rPr>
          <w:rFonts w:hint="eastAsia"/>
          <w:szCs w:val="24"/>
        </w:rPr>
        <w:t>学校</w:t>
      </w:r>
      <w:r>
        <w:rPr>
          <w:szCs w:val="24"/>
        </w:rPr>
        <w:t>2021</w:t>
      </w:r>
      <w:r>
        <w:rPr>
          <w:rFonts w:hint="eastAsia"/>
          <w:szCs w:val="24"/>
        </w:rPr>
        <w:t>届</w:t>
      </w:r>
      <w:r>
        <w:rPr>
          <w:rFonts w:hint="eastAsia"/>
          <w:color w:val="auto"/>
        </w:rPr>
        <w:t>本科毕业生中，</w:t>
      </w:r>
      <w:r>
        <w:rPr>
          <w:rFonts w:hint="eastAsia"/>
        </w:rPr>
        <w:t>困难生、非困难生</w:t>
      </w:r>
      <w:r>
        <w:t>毕业去向落实率</w:t>
      </w:r>
      <w:r>
        <w:rPr>
          <w:rFonts w:hint="eastAsia"/>
        </w:rPr>
        <w:t>分别为</w:t>
      </w:r>
      <w:r>
        <w:t>91.54%</w:t>
      </w:r>
      <w:r>
        <w:rPr>
          <w:rFonts w:hint="eastAsia"/>
        </w:rPr>
        <w:t>、</w:t>
      </w:r>
      <w:r>
        <w:t>88.46%</w:t>
      </w:r>
      <w:r>
        <w:rPr>
          <w:rFonts w:hint="eastAsia"/>
        </w:rPr>
        <w:t>。专科毕业生中，困难生、非困难生</w:t>
      </w:r>
      <w:r>
        <w:t>毕业去向落实率</w:t>
      </w:r>
      <w:r>
        <w:rPr>
          <w:rFonts w:hint="eastAsia"/>
        </w:rPr>
        <w:t>分别为</w:t>
      </w:r>
      <w:r>
        <w:t>92.62%</w:t>
      </w:r>
      <w:r>
        <w:rPr>
          <w:rFonts w:hint="eastAsia"/>
        </w:rPr>
        <w:t>、</w:t>
      </w:r>
      <w:r>
        <w:t>92.61%</w:t>
      </w:r>
      <w:r>
        <w:rPr>
          <w:rFonts w:hint="eastAsia"/>
        </w:rPr>
        <w:t>。具体毕业去向详见下表</w:t>
      </w:r>
      <w:r>
        <w:t>。</w:t>
      </w:r>
    </w:p>
    <w:p>
      <w:pPr>
        <w:pStyle w:val="180"/>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6</w:t>
      </w:r>
      <w:r>
        <w:fldChar w:fldCharType="end"/>
      </w:r>
      <w:r>
        <w:t xml:space="preserve">  2021届</w:t>
      </w:r>
      <w:r>
        <w:rPr>
          <w:rFonts w:hint="eastAsia"/>
        </w:rPr>
        <w:t>困难生与</w:t>
      </w:r>
      <w:r>
        <w:t>非困难生毕业去向落实率</w:t>
      </w:r>
      <w:r>
        <w:rPr>
          <w:rFonts w:hint="eastAsia"/>
        </w:rPr>
        <w:t>分</w:t>
      </w:r>
      <w:r>
        <w:t>布</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278"/>
        <w:gridCol w:w="1210"/>
        <w:gridCol w:w="1075"/>
        <w:gridCol w:w="1210"/>
        <w:gridCol w:w="960"/>
        <w:gridCol w:w="1403"/>
        <w:gridCol w:w="86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65" w:type="pct"/>
            <w:vMerge w:val="restart"/>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结构</w:t>
            </w:r>
          </w:p>
        </w:tc>
        <w:tc>
          <w:tcPr>
            <w:tcW w:w="1269" w:type="pct"/>
            <w:gridSpan w:val="2"/>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本科毕业生</w:t>
            </w:r>
          </w:p>
        </w:tc>
        <w:tc>
          <w:tcPr>
            <w:tcW w:w="1205" w:type="pct"/>
            <w:gridSpan w:val="2"/>
            <w:tcBorders>
              <w:top w:val="single" w:color="0F6FC6" w:sz="4" w:space="0"/>
              <w:left w:val="single" w:color="0F6FC6" w:themeColor="accent1" w:sz="4" w:space="0"/>
              <w:bottom w:val="single" w:color="0F6FC6" w:sz="4" w:space="0"/>
              <w:right w:val="nil"/>
              <w:insideH w:val="single" w:sz="4" w:space="0"/>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专科毕业生</w:t>
            </w:r>
          </w:p>
        </w:tc>
        <w:tc>
          <w:tcPr>
            <w:tcW w:w="1261" w:type="pct"/>
            <w:gridSpan w:val="2"/>
            <w:tcBorders>
              <w:top w:val="single" w:color="0F6FC6" w:sz="4" w:space="0"/>
              <w:left w:val="single" w:color="0F6FC6" w:themeColor="accent1"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65" w:type="pct"/>
            <w:vMerge w:val="continue"/>
            <w:tcBorders>
              <w:top w:val="single" w:color="0F6FC6" w:themeColor="accent1" w:sz="4" w:space="0"/>
              <w:left w:val="single" w:color="0F6FC6" w:themeColor="accent1" w:sz="4" w:space="0"/>
              <w:bottom w:val="single" w:color="0F6FC6" w:themeColor="accent1" w:sz="4" w:space="0"/>
              <w:right w:val="single" w:color="0F6FC6" w:themeColor="accent1" w:sz="4" w:space="0"/>
            </w:tcBorders>
            <w:shd w:val="clear" w:color="auto" w:fill="C7E2FA"/>
            <w:noWrap/>
            <w:vAlign w:val="center"/>
          </w:tcPr>
          <w:p>
            <w:pPr>
              <w:spacing w:before="0"/>
              <w:jc w:val="center"/>
              <w:rPr>
                <w:rFonts w:ascii="Times New Roman" w:hAnsi="Times New Roman" w:cs="Times New Roman"/>
                <w:b w:val="0"/>
                <w:bCs/>
                <w:sz w:val="21"/>
                <w:szCs w:val="21"/>
              </w:rPr>
            </w:pPr>
          </w:p>
        </w:tc>
        <w:tc>
          <w:tcPr>
            <w:tcW w:w="672" w:type="pct"/>
            <w:tcBorders>
              <w:top w:val="single" w:color="0F6FC6" w:themeColor="accent1" w:sz="4" w:space="0"/>
              <w:left w:val="single" w:color="0F6FC6" w:themeColor="accent1" w:sz="4" w:space="0"/>
            </w:tcBorders>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就业人数</w:t>
            </w:r>
          </w:p>
        </w:tc>
        <w:tc>
          <w:tcPr>
            <w:tcW w:w="597" w:type="pct"/>
            <w:tcBorders>
              <w:top w:val="single" w:color="0F6FC6" w:themeColor="accent1" w:sz="4" w:space="0"/>
            </w:tcBorders>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占比</w:t>
            </w:r>
          </w:p>
        </w:tc>
        <w:tc>
          <w:tcPr>
            <w:tcW w:w="672" w:type="pct"/>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就业人数</w:t>
            </w:r>
          </w:p>
        </w:tc>
        <w:tc>
          <w:tcPr>
            <w:tcW w:w="533" w:type="pct"/>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占比</w:t>
            </w:r>
          </w:p>
        </w:tc>
        <w:tc>
          <w:tcPr>
            <w:tcW w:w="779" w:type="pct"/>
            <w:shd w:val="clear" w:color="auto" w:fill="C7E2FA"/>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就业人数</w:t>
            </w:r>
          </w:p>
        </w:tc>
        <w:tc>
          <w:tcPr>
            <w:tcW w:w="482" w:type="pct"/>
            <w:shd w:val="clear" w:color="auto" w:fill="C7E2FA"/>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65" w:type="pct"/>
            <w:tcBorders>
              <w:top w:val="single" w:color="0F6FC6" w:themeColor="accent1" w:sz="4" w:space="0"/>
            </w:tcBorders>
            <w:noWrap/>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困难生</w:t>
            </w:r>
          </w:p>
        </w:tc>
        <w:tc>
          <w:tcPr>
            <w:tcW w:w="672"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931</w:t>
            </w:r>
          </w:p>
        </w:tc>
        <w:tc>
          <w:tcPr>
            <w:tcW w:w="597"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91.54%</w:t>
            </w:r>
          </w:p>
        </w:tc>
        <w:tc>
          <w:tcPr>
            <w:tcW w:w="672"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703</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92.62%</w:t>
            </w:r>
          </w:p>
        </w:tc>
        <w:tc>
          <w:tcPr>
            <w:tcW w:w="77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1634</w:t>
            </w:r>
          </w:p>
        </w:tc>
        <w:tc>
          <w:tcPr>
            <w:tcW w:w="482"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92.00%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65" w:type="pct"/>
            <w:shd w:val="clear" w:color="auto" w:fill="C7E2FA"/>
            <w:noWrap/>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非困难生</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1655</w:t>
            </w:r>
          </w:p>
        </w:tc>
        <w:tc>
          <w:tcPr>
            <w:tcW w:w="59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88.46%</w:t>
            </w:r>
          </w:p>
        </w:tc>
        <w:tc>
          <w:tcPr>
            <w:tcW w:w="672"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927</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92.61%</w:t>
            </w:r>
          </w:p>
        </w:tc>
        <w:tc>
          <w:tcPr>
            <w:tcW w:w="77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2582</w:t>
            </w:r>
          </w:p>
        </w:tc>
        <w:tc>
          <w:tcPr>
            <w:tcW w:w="482"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89.90%</w:t>
            </w:r>
          </w:p>
        </w:tc>
      </w:tr>
    </w:tbl>
    <w:p>
      <w:pPr>
        <w:pStyle w:val="63"/>
        <w:spacing w:beforeLines="0" w:after="156"/>
        <w:ind w:firstLine="360"/>
        <w:rPr>
          <w:color w:val="0F6FC6" w:themeColor="accent5"/>
          <w:sz w:val="18"/>
          <w:szCs w:val="18"/>
          <w14:textFill>
            <w14:solidFill>
              <w14:schemeClr w14:val="accent5"/>
            </w14:solidFill>
          </w14:textFill>
        </w:rPr>
      </w:pPr>
      <w:r>
        <w:rPr>
          <w:rFonts w:hint="eastAsia"/>
          <w:color w:val="0F6FC6" w:themeColor="accent5"/>
          <w:sz w:val="18"/>
          <w:szCs w:val="18"/>
          <w14:textFill>
            <w14:solidFill>
              <w14:schemeClr w14:val="accent5"/>
            </w14:solidFill>
          </w14:textFill>
        </w:rPr>
        <w:t>数据来源：湖北省高校毕业生就业办公系统。</w:t>
      </w:r>
    </w:p>
    <w:p>
      <w:pPr>
        <w:pStyle w:val="141"/>
        <w:rPr>
          <w:color w:val="0F6FC6" w:themeColor="accent5"/>
          <w14:textFill>
            <w14:solidFill>
              <w14:schemeClr w14:val="accent5"/>
            </w14:solidFill>
          </w14:textFill>
        </w:rPr>
      </w:pPr>
      <w:bookmarkStart w:id="87" w:name="_Toc92706718"/>
      <w:r>
        <w:rPr>
          <w:rFonts w:hint="eastAsia"/>
          <w:color w:val="0F6FC6" w:themeColor="accent5"/>
          <w14:textFill>
            <w14:solidFill>
              <w14:schemeClr w14:val="accent5"/>
            </w14:solidFill>
          </w14:textFill>
        </w:rPr>
        <w:t>二</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社会贡献度</w:t>
      </w:r>
      <w:bookmarkEnd w:id="78"/>
      <w:r>
        <w:rPr>
          <w:rStyle w:val="41"/>
          <w:color w:val="0F6FC6" w:themeColor="accent1"/>
          <w14:textFill>
            <w14:solidFill>
              <w14:schemeClr w14:val="accent1"/>
            </w14:solidFill>
          </w14:textFill>
        </w:rPr>
        <w:footnoteReference w:id="0"/>
      </w:r>
      <w:bookmarkEnd w:id="79"/>
      <w:bookmarkEnd w:id="87"/>
    </w:p>
    <w:p>
      <w:pPr>
        <w:spacing w:line="360" w:lineRule="auto"/>
        <w:ind w:firstLine="480" w:firstLineChars="200"/>
        <w:jc w:val="both"/>
      </w:pPr>
      <w:bookmarkStart w:id="88" w:name="_Toc520907400"/>
      <w:r>
        <w:rPr>
          <w:rFonts w:hint="eastAsia"/>
        </w:rPr>
        <w:t>服务地方经济，助推社会发展，是高校的职责之一，也是高校联结外部的纽带，体现着高校的社会价值。社会贡献度的调研评价，能够让高校更加充分的了解自身在区域经济社会发展的优势作用，并据此优化完善学校在人才培养、学科专业调整、科学研究、成果转化、服务社会等方面的工作，加深校地融合，为社会发展创造更大的价值。</w:t>
      </w:r>
    </w:p>
    <w:p>
      <w:pPr>
        <w:pStyle w:val="151"/>
        <w:rPr>
          <w:color w:val="0F6FC6" w:themeColor="accent5"/>
          <w14:textFill>
            <w14:solidFill>
              <w14:schemeClr w14:val="accent5"/>
            </w14:solidFill>
          </w14:textFill>
        </w:rPr>
      </w:pPr>
      <w:bookmarkStart w:id="89" w:name="_Toc92706719"/>
      <w:bookmarkStart w:id="90" w:name="_Toc82010494"/>
      <w:r>
        <w:rPr>
          <w:rFonts w:hint="eastAsia"/>
          <w:color w:val="0F6FC6" w:themeColor="accent5"/>
          <w14:textFill>
            <w14:solidFill>
              <w14:schemeClr w14:val="accent5"/>
            </w14:solidFill>
          </w14:textFill>
        </w:rPr>
        <w:t>（一</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就业</w:t>
      </w:r>
      <w:bookmarkEnd w:id="88"/>
      <w:r>
        <w:rPr>
          <w:rFonts w:hint="eastAsia"/>
          <w:color w:val="0F6FC6" w:themeColor="accent5"/>
          <w14:textFill>
            <w14:solidFill>
              <w14:schemeClr w14:val="accent5"/>
            </w14:solidFill>
          </w14:textFill>
        </w:rPr>
        <w:t>地区</w:t>
      </w:r>
      <w:bookmarkEnd w:id="89"/>
      <w:bookmarkEnd w:id="90"/>
    </w:p>
    <w:p>
      <w:pPr>
        <w:spacing w:line="360" w:lineRule="auto"/>
        <w:ind w:firstLine="480" w:firstLineChars="200"/>
        <w:jc w:val="both"/>
      </w:pPr>
      <w:r>
        <w:rPr>
          <w:rFonts w:hint="eastAsia"/>
        </w:rPr>
        <w:t>大学生是知识和技术的重要承载者，是生产力的重要创造者。大学生对于就业地区选择，是影响整个社会人力资源配置是否合理的重要因素，因而研究高校毕业生就业地区情况，做好毕业生就业选择的正确引导工作至关重要。</w:t>
      </w:r>
    </w:p>
    <w:p>
      <w:pPr>
        <w:pStyle w:val="178"/>
        <w:spacing w:before="156"/>
        <w:ind w:firstLine="482"/>
      </w:pPr>
      <w:r>
        <w:rPr>
          <w:rFonts w:hint="eastAsia"/>
          <w:b/>
          <w:color w:val="0F6FC6" w:themeColor="accent5"/>
          <w14:textFill>
            <w14:solidFill>
              <w14:schemeClr w14:val="accent5"/>
            </w14:solidFill>
          </w14:textFill>
        </w:rPr>
        <w:t>就业省份</w:t>
      </w:r>
      <w:r>
        <w:rPr>
          <w:b/>
          <w:color w:val="0F6FC6" w:themeColor="accent5"/>
          <w14:textFill>
            <w14:solidFill>
              <w14:schemeClr w14:val="accent5"/>
            </w14:solidFill>
          </w14:textFill>
        </w:rPr>
        <w:t>：</w:t>
      </w:r>
      <w:r>
        <w:rPr>
          <w:rFonts w:hint="eastAsia"/>
        </w:rPr>
        <w:t>学校</w:t>
      </w:r>
      <w:r>
        <w:t>2021届</w:t>
      </w:r>
      <w:r>
        <w:rPr>
          <w:rFonts w:hint="eastAsia"/>
        </w:rPr>
        <w:t>毕业生主要选择在省内就业</w:t>
      </w:r>
      <w:r>
        <w:t>（</w:t>
      </w:r>
      <w:r>
        <w:rPr>
          <w:rFonts w:hint="eastAsia"/>
        </w:rPr>
        <w:t>57.3</w:t>
      </w:r>
      <w:r>
        <w:t>6</w:t>
      </w:r>
      <w:r>
        <w:rPr>
          <w:rFonts w:hint="eastAsia"/>
        </w:rPr>
        <w:t>%</w:t>
      </w:r>
      <w:r>
        <w:t>）</w:t>
      </w:r>
      <w:r>
        <w:rPr>
          <w:rFonts w:hint="eastAsia"/>
        </w:rPr>
        <w:t>，服务地方经济发展</w:t>
      </w:r>
      <w:r>
        <w:t>；其中，</w:t>
      </w:r>
      <w:r>
        <w:rPr>
          <w:rFonts w:hint="eastAsia"/>
        </w:rPr>
        <w:t>本科毕业生、专科毕业生</w:t>
      </w:r>
      <w:r>
        <w:t>省内就业占比</w:t>
      </w:r>
      <w:r>
        <w:rPr>
          <w:rFonts w:hint="eastAsia"/>
        </w:rPr>
        <w:t>分别</w:t>
      </w:r>
      <w:r>
        <w:t>为</w:t>
      </w:r>
      <w:r>
        <w:rPr>
          <w:rFonts w:hint="eastAsia"/>
        </w:rPr>
        <w:t>55.44%、62.62%</w:t>
      </w:r>
      <w:r>
        <w:t>。</w:t>
      </w:r>
      <w:r>
        <w:rPr>
          <w:rFonts w:hint="eastAsia"/>
        </w:rPr>
        <w:t>此外</w:t>
      </w:r>
      <w:r>
        <w:t>，</w:t>
      </w:r>
      <w:r>
        <w:rPr>
          <w:rFonts w:hint="eastAsia"/>
        </w:rPr>
        <w:t>省外</w:t>
      </w:r>
      <w:r>
        <w:t>就业</w:t>
      </w:r>
      <w:r>
        <w:rPr>
          <w:rFonts w:hint="eastAsia"/>
        </w:rPr>
        <w:t>毕业生</w:t>
      </w:r>
      <w:r>
        <w:t>主要流向了</w:t>
      </w:r>
      <w:r>
        <w:rPr>
          <w:rFonts w:hint="eastAsia"/>
          <w:kern w:val="2"/>
          <w:szCs w:val="24"/>
        </w:rPr>
        <w:t>广东省、浙江省和四川省</w:t>
      </w:r>
      <w:r>
        <w:rPr>
          <w:kern w:val="2"/>
          <w:szCs w:val="24"/>
        </w:rPr>
        <w:t>，</w:t>
      </w:r>
      <w:r>
        <w:rPr>
          <w:rFonts w:hint="eastAsia"/>
          <w:kern w:val="2"/>
          <w:szCs w:val="24"/>
        </w:rPr>
        <w:t>占比</w:t>
      </w:r>
      <w:r>
        <w:rPr>
          <w:kern w:val="2"/>
          <w:szCs w:val="24"/>
        </w:rPr>
        <w:t>分别</w:t>
      </w:r>
      <w:r>
        <w:rPr>
          <w:rFonts w:hint="eastAsia"/>
          <w:kern w:val="2"/>
          <w:szCs w:val="24"/>
        </w:rPr>
        <w:t>为</w:t>
      </w:r>
      <w:r>
        <w:rPr>
          <w:rFonts w:hint="eastAsia"/>
        </w:rPr>
        <w:t>8.34%、5.18%和2.79%。</w:t>
      </w:r>
    </w:p>
    <w:p>
      <w:pPr>
        <w:pStyle w:val="178"/>
        <w:spacing w:before="156"/>
        <w:ind w:firstLine="0" w:firstLineChars="0"/>
        <w:jc w:val="center"/>
      </w:pPr>
      <w:r>
        <w:rPr>
          <w:lang w:val="en-US"/>
        </w:rPr>
        <w:drawing>
          <wp:inline distT="0" distB="0" distL="0" distR="0">
            <wp:extent cx="5085080" cy="1836420"/>
            <wp:effectExtent l="0" t="0" r="1270" b="0"/>
            <wp:docPr id="944" name="图表 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218"/>
        <w:spacing w:before="156" w:after="156"/>
      </w:pPr>
      <w:bookmarkStart w:id="91" w:name="_Toc521678812"/>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4</w:t>
      </w:r>
      <w:r>
        <w:fldChar w:fldCharType="end"/>
      </w:r>
      <w:r>
        <w:rPr>
          <w:rFonts w:hint="eastAsia"/>
        </w:rPr>
        <w:t xml:space="preserve"> </w:t>
      </w:r>
      <w:r>
        <w:t xml:space="preserve"> </w:t>
      </w:r>
      <w:r>
        <w:rPr>
          <w:rFonts w:eastAsia="宋体"/>
        </w:rPr>
        <w:t>2021</w:t>
      </w:r>
      <w:r>
        <w:t>届</w:t>
      </w:r>
      <w:r>
        <w:rPr>
          <w:rFonts w:hint="eastAsia"/>
        </w:rPr>
        <w:t>毕业生省内</w:t>
      </w:r>
      <w:r>
        <w:t>、省外就业占比</w:t>
      </w:r>
      <w:bookmarkEnd w:id="91"/>
      <w:bookmarkStart w:id="92" w:name="_Toc521676305"/>
      <w:bookmarkStart w:id="93" w:name="_Toc521678813"/>
    </w:p>
    <w:p>
      <w:pPr>
        <w:pStyle w:val="218"/>
        <w:spacing w:before="156" w:after="156"/>
        <w:rPr>
          <w:bCs/>
          <w:color w:val="FF0000"/>
        </w:rPr>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7</w:t>
      </w:r>
      <w:r>
        <w:fldChar w:fldCharType="end"/>
      </w:r>
      <w:r>
        <w:rPr>
          <w:bCs/>
        </w:rPr>
        <w:t xml:space="preserve">  </w:t>
      </w:r>
      <w:r>
        <w:rPr>
          <w:rFonts w:hint="eastAsia" w:eastAsia="宋体"/>
          <w:bCs/>
        </w:rPr>
        <w:t>2021</w:t>
      </w:r>
      <w:r>
        <w:rPr>
          <w:rFonts w:hint="eastAsia"/>
          <w:bCs/>
        </w:rPr>
        <w:t>届毕业生就业省份分布</w:t>
      </w:r>
      <w:bookmarkEnd w:id="92"/>
      <w:bookmarkEnd w:id="93"/>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304"/>
        <w:gridCol w:w="1210"/>
        <w:gridCol w:w="1100"/>
        <w:gridCol w:w="1189"/>
        <w:gridCol w:w="1007"/>
        <w:gridCol w:w="1097"/>
        <w:gridCol w:w="109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vMerge w:val="restart"/>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就业省份</w:t>
            </w:r>
          </w:p>
        </w:tc>
        <w:tc>
          <w:tcPr>
            <w:tcW w:w="1283" w:type="pct"/>
            <w:gridSpan w:val="2"/>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本科毕业生</w:t>
            </w:r>
          </w:p>
        </w:tc>
        <w:tc>
          <w:tcPr>
            <w:tcW w:w="1219" w:type="pct"/>
            <w:gridSpan w:val="2"/>
            <w:tcBorders>
              <w:top w:val="single" w:color="0F6FC6" w:sz="4" w:space="0"/>
              <w:left w:val="single" w:color="0F6FC6" w:themeColor="accent1" w:sz="4" w:space="0"/>
              <w:bottom w:val="single" w:color="0F6FC6" w:sz="4" w:space="0"/>
              <w:right w:val="nil"/>
              <w:insideH w:val="single" w:sz="4" w:space="0"/>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专科毕业生</w:t>
            </w:r>
          </w:p>
        </w:tc>
        <w:tc>
          <w:tcPr>
            <w:tcW w:w="1218" w:type="pct"/>
            <w:gridSpan w:val="2"/>
            <w:tcBorders>
              <w:top w:val="single" w:color="0F6FC6" w:sz="4" w:space="0"/>
              <w:left w:val="single" w:color="0F6FC6" w:themeColor="accent1"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vMerge w:val="continue"/>
            <w:tcBorders>
              <w:top w:val="single" w:color="0F6FC6" w:themeColor="accent1" w:sz="4" w:space="0"/>
              <w:left w:val="single" w:color="0F6FC6" w:themeColor="accent1" w:sz="4" w:space="0"/>
              <w:bottom w:val="single" w:color="0F6FC6" w:themeColor="accent1" w:sz="4" w:space="0"/>
              <w:right w:val="single" w:color="0F6FC6" w:themeColor="accent1" w:sz="4" w:space="0"/>
            </w:tcBorders>
            <w:shd w:val="clear" w:color="auto" w:fill="C7E2FA"/>
            <w:noWrap/>
            <w:vAlign w:val="center"/>
          </w:tcPr>
          <w:p>
            <w:pPr>
              <w:spacing w:before="0"/>
              <w:jc w:val="center"/>
              <w:rPr>
                <w:rFonts w:ascii="Times New Roman" w:hAnsi="Times New Roman" w:cs="Times New Roman"/>
                <w:b w:val="0"/>
                <w:bCs/>
                <w:sz w:val="21"/>
                <w:szCs w:val="21"/>
              </w:rPr>
            </w:pPr>
          </w:p>
        </w:tc>
        <w:tc>
          <w:tcPr>
            <w:tcW w:w="672" w:type="pct"/>
            <w:tcBorders>
              <w:top w:val="single" w:color="0F6FC6" w:themeColor="accent1" w:sz="4" w:space="0"/>
              <w:left w:val="single" w:color="0F6FC6" w:themeColor="accent1" w:sz="4" w:space="0"/>
            </w:tcBorders>
            <w:shd w:val="clear" w:color="auto" w:fill="C7E2FA"/>
            <w:noWrap/>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人数</w:t>
            </w:r>
          </w:p>
        </w:tc>
        <w:tc>
          <w:tcPr>
            <w:tcW w:w="611" w:type="pct"/>
            <w:tcBorders>
              <w:top w:val="single" w:color="0F6FC6" w:themeColor="accent1" w:sz="4" w:space="0"/>
            </w:tcBorders>
            <w:shd w:val="clear" w:color="auto" w:fill="C7E2FA"/>
            <w:noWrap/>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占比</w:t>
            </w:r>
          </w:p>
        </w:tc>
        <w:tc>
          <w:tcPr>
            <w:tcW w:w="660" w:type="pct"/>
            <w:shd w:val="clear" w:color="auto" w:fill="C7E2FA"/>
            <w:noWrap/>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人数</w:t>
            </w:r>
          </w:p>
        </w:tc>
        <w:tc>
          <w:tcPr>
            <w:tcW w:w="559" w:type="pct"/>
            <w:shd w:val="clear" w:color="auto" w:fill="C7E2FA"/>
            <w:noWrap/>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占比</w:t>
            </w:r>
          </w:p>
        </w:tc>
        <w:tc>
          <w:tcPr>
            <w:tcW w:w="609" w:type="pct"/>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人数</w:t>
            </w:r>
          </w:p>
        </w:tc>
        <w:tc>
          <w:tcPr>
            <w:tcW w:w="609" w:type="pct"/>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bCs/>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tcBorders>
              <w:top w:val="single" w:color="0F6FC6" w:themeColor="accent1" w:sz="4" w:space="0"/>
            </w:tcBorders>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省内就业</w:t>
            </w:r>
          </w:p>
        </w:tc>
        <w:tc>
          <w:tcPr>
            <w:tcW w:w="672" w:type="pct"/>
            <w:noWrap/>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1329</w:t>
            </w:r>
          </w:p>
        </w:tc>
        <w:tc>
          <w:tcPr>
            <w:tcW w:w="611" w:type="pct"/>
            <w:noWrap/>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55.44%</w:t>
            </w:r>
          </w:p>
        </w:tc>
        <w:tc>
          <w:tcPr>
            <w:tcW w:w="660" w:type="pct"/>
            <w:noWrap/>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542</w:t>
            </w:r>
          </w:p>
        </w:tc>
        <w:tc>
          <w:tcPr>
            <w:tcW w:w="559" w:type="pct"/>
            <w:noWrap/>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62.66%</w:t>
            </w:r>
          </w:p>
        </w:tc>
        <w:tc>
          <w:tcPr>
            <w:tcW w:w="609" w:type="pct"/>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1871</w:t>
            </w:r>
          </w:p>
        </w:tc>
        <w:tc>
          <w:tcPr>
            <w:tcW w:w="609" w:type="pct"/>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57.36%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省外就业</w:t>
            </w:r>
          </w:p>
        </w:tc>
        <w:tc>
          <w:tcPr>
            <w:tcW w:w="672"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color w:val="000000"/>
                <w:sz w:val="21"/>
                <w:szCs w:val="21"/>
              </w:rPr>
              <w:t>1068</w:t>
            </w:r>
          </w:p>
        </w:tc>
        <w:tc>
          <w:tcPr>
            <w:tcW w:w="611"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color w:val="000000"/>
                <w:sz w:val="21"/>
                <w:szCs w:val="21"/>
              </w:rPr>
              <w:t>44.56%</w:t>
            </w:r>
          </w:p>
        </w:tc>
        <w:tc>
          <w:tcPr>
            <w:tcW w:w="660" w:type="pct"/>
            <w:shd w:val="clear" w:color="auto" w:fill="C7E2FA"/>
            <w:noWrap/>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323</w:t>
            </w:r>
          </w:p>
        </w:tc>
        <w:tc>
          <w:tcPr>
            <w:tcW w:w="559" w:type="pct"/>
            <w:shd w:val="clear" w:color="auto" w:fill="C7E2FA"/>
            <w:noWrap/>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37.34%</w:t>
            </w:r>
          </w:p>
        </w:tc>
        <w:tc>
          <w:tcPr>
            <w:tcW w:w="609" w:type="pct"/>
            <w:shd w:val="clear" w:color="auto" w:fill="C7E2FA"/>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1391</w:t>
            </w:r>
          </w:p>
        </w:tc>
        <w:tc>
          <w:tcPr>
            <w:tcW w:w="609" w:type="pct"/>
            <w:shd w:val="clear" w:color="auto" w:fill="C7E2FA"/>
            <w:vAlign w:val="center"/>
          </w:tcPr>
          <w:p>
            <w:pPr>
              <w:spacing w:befor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42.64%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广东省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221</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9.22%</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51</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5.90%</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272</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浙江省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134</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5.59%</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35</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4.05%</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169</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四川省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63</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2.63%</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28</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3.24%</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91</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贵州省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69</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2.88%</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1.85%</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85</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2.61%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江苏省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61</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2.54%</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2.20%</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河南省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43</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1.79%</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27</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3.12%</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70</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上海市</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59</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2.46%</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68</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福建省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50</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2.09%</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1.39%</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62</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新疆维吾尔自治区</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39</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1.63%</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1.73%</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54</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甘肃省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34</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1.42%</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1.39%</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46</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重庆市</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29</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1.21%</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1.39%</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山西省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33</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1.38%</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0.81%</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安徽省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32</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1.34%</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0.58%</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江西省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26</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1.08%</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0.92%</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34</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湖南省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26</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1.08%</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0.92%</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34</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北京市</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27</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1.13%</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0.69%</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33</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陕西省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21</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0.88%</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0.81%</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28</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广西壮族自治区</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19</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0.79%</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0.81%</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山东省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23</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0.96%</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0.35%</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宁夏回族自治区</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8</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0.33%</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1.62%</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22</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云南省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16</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0.67%</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0.23%</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河北省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4</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0.17%</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1.16%</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海南省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0.21%</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0.81%</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西藏自治区</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11</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0.46%</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内蒙古自治区</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9</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0.38%</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0.23%</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天津市</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0.13%</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辽宁省</w:t>
            </w:r>
          </w:p>
        </w:tc>
        <w:tc>
          <w:tcPr>
            <w:tcW w:w="672"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w:t>
            </w:r>
          </w:p>
        </w:tc>
        <w:tc>
          <w:tcPr>
            <w:tcW w:w="611"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0.04%</w:t>
            </w:r>
          </w:p>
        </w:tc>
        <w:tc>
          <w:tcPr>
            <w:tcW w:w="660"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559"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0.12%</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609"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28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青海省</w:t>
            </w:r>
          </w:p>
        </w:tc>
        <w:tc>
          <w:tcPr>
            <w:tcW w:w="672"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w:t>
            </w:r>
          </w:p>
        </w:tc>
        <w:tc>
          <w:tcPr>
            <w:tcW w:w="611"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0.08%</w:t>
            </w:r>
          </w:p>
        </w:tc>
        <w:tc>
          <w:tcPr>
            <w:tcW w:w="660"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559"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609"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0.06%</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220"/>
        <w:spacing w:before="156" w:beforeLines="50"/>
        <w:ind w:firstLine="482"/>
        <w:rPr>
          <w:b/>
          <w:color w:val="0F6FC6"/>
        </w:rPr>
      </w:pPr>
      <w:r>
        <w:rPr>
          <w:rFonts w:hint="eastAsia" w:cs="Times New Roman"/>
          <w:b/>
          <w:bCs/>
          <w:color w:val="0F6FC6" w:themeColor="accent5"/>
          <w:szCs w:val="30"/>
          <w:lang w:val="zh-CN"/>
          <w14:textFill>
            <w14:solidFill>
              <w14:schemeClr w14:val="accent5"/>
            </w14:solidFill>
          </w14:textFill>
        </w:rPr>
        <w:t>中西部就业情况</w:t>
      </w:r>
      <w:r>
        <w:rPr>
          <w:rFonts w:cs="Times New Roman"/>
          <w:bCs/>
          <w:color w:val="0F6FC6" w:themeColor="accent5"/>
          <w:szCs w:val="30"/>
          <w:vertAlign w:val="superscript"/>
          <w:lang w:val="zh-CN"/>
          <w14:textFill>
            <w14:solidFill>
              <w14:schemeClr w14:val="accent5"/>
            </w14:solidFill>
          </w14:textFill>
        </w:rPr>
        <w:footnoteReference w:id="1"/>
      </w:r>
      <w:r>
        <w:rPr>
          <w:rFonts w:hint="eastAsia" w:cs="Times New Roman"/>
          <w:b/>
          <w:bCs/>
          <w:color w:val="0F6FC6" w:themeColor="accent5"/>
          <w:szCs w:val="30"/>
          <w:lang w:val="zh-CN"/>
          <w14:textFill>
            <w14:solidFill>
              <w14:schemeClr w14:val="accent5"/>
            </w14:solidFill>
          </w14:textFill>
        </w:rPr>
        <w:t>：</w:t>
      </w:r>
      <w:r>
        <w:rPr>
          <w:rFonts w:hint="eastAsia"/>
          <w:color w:val="auto"/>
        </w:rPr>
        <w:t>学校2021届本科毕业生选择在中部地区就业共1489人，占该学历就业总人数的比例为62.12%；选择在西部地区就业共320人，占该学历就业总人数的比例为13.35%。专科毕业生选择在中部地区就业共597人，占该学历就业总人数的比例为69.02%；选择在西部地区就业共115人，占该学历就业总人数的比例为13.29%。</w:t>
      </w:r>
    </w:p>
    <w:p>
      <w:pPr>
        <w:pStyle w:val="218"/>
        <w:spacing w:before="156" w:after="156"/>
        <w:rPr>
          <w:bCs/>
        </w:rPr>
      </w:pPr>
      <w:bookmarkStart w:id="94" w:name="_Toc21954429"/>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8</w:t>
      </w:r>
      <w:r>
        <w:fldChar w:fldCharType="end"/>
      </w:r>
      <w:r>
        <w:rPr>
          <w:bCs/>
        </w:rPr>
        <w:t xml:space="preserve">  2021届</w:t>
      </w:r>
      <w:r>
        <w:rPr>
          <w:rFonts w:hint="eastAsia"/>
          <w:bCs/>
        </w:rPr>
        <w:t>毕业生中西部地区就业情况分布</w:t>
      </w:r>
      <w:bookmarkEnd w:id="94"/>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059"/>
        <w:gridCol w:w="1724"/>
        <w:gridCol w:w="1034"/>
        <w:gridCol w:w="1576"/>
        <w:gridCol w:w="1034"/>
        <w:gridCol w:w="157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13" w:hRule="atLeast"/>
          <w:tblHeader/>
        </w:trPr>
        <w:tc>
          <w:tcPr>
            <w:tcW w:w="0" w:type="auto"/>
            <w:vMerge w:val="restart"/>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地区类型</w:t>
            </w:r>
          </w:p>
        </w:tc>
        <w:tc>
          <w:tcPr>
            <w:tcW w:w="0" w:type="auto"/>
            <w:vMerge w:val="restart"/>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就业地区</w:t>
            </w:r>
          </w:p>
        </w:tc>
        <w:tc>
          <w:tcPr>
            <w:tcW w:w="0" w:type="auto"/>
            <w:gridSpan w:val="2"/>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本科毕业生</w:t>
            </w:r>
          </w:p>
        </w:tc>
        <w:tc>
          <w:tcPr>
            <w:tcW w:w="0" w:type="auto"/>
            <w:gridSpan w:val="2"/>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专科毕业生</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25" w:hRule="atLeast"/>
        </w:trPr>
        <w:tc>
          <w:tcPr>
            <w:tcW w:w="0" w:type="auto"/>
            <w:vMerge w:val="continue"/>
            <w:shd w:val="clear" w:color="auto" w:fill="C7E2FA"/>
            <w:vAlign w:val="center"/>
          </w:tcPr>
          <w:p>
            <w:pPr>
              <w:spacing w:before="0"/>
              <w:jc w:val="center"/>
              <w:rPr>
                <w:rFonts w:ascii="Times New Roman" w:hAnsi="Times New Roman" w:cs="Times New Roman"/>
                <w:b w:val="0"/>
                <w:bCs/>
                <w:sz w:val="21"/>
                <w:szCs w:val="21"/>
              </w:rPr>
            </w:pPr>
          </w:p>
        </w:tc>
        <w:tc>
          <w:tcPr>
            <w:tcW w:w="0" w:type="auto"/>
            <w:vMerge w:val="continue"/>
            <w:shd w:val="clear" w:color="auto" w:fill="C7E2FA"/>
            <w:vAlign w:val="center"/>
          </w:tcPr>
          <w:p>
            <w:pPr>
              <w:spacing w:before="0"/>
              <w:jc w:val="center"/>
              <w:rPr>
                <w:rFonts w:ascii="Times New Roman" w:hAnsi="Times New Roman" w:cs="Times New Roman"/>
                <w:sz w:val="21"/>
                <w:szCs w:val="21"/>
              </w:rPr>
            </w:pP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人数</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占比</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人数</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13" w:hRule="atLeast"/>
        </w:trPr>
        <w:tc>
          <w:tcPr>
            <w:tcW w:w="0" w:type="auto"/>
            <w:vMerge w:val="restart"/>
            <w:shd w:val="clear" w:color="auto" w:fill="C7E2FA" w:themeFill="accent1" w:themeFillTint="33"/>
            <w:vAlign w:val="center"/>
          </w:tcPr>
          <w:p>
            <w:pPr>
              <w:spacing w:before="0"/>
              <w:jc w:val="center"/>
              <w:rPr>
                <w:rFonts w:ascii="Times New Roman" w:hAnsi="Times New Roman" w:cs="Times New Roman"/>
                <w:b w:val="0"/>
                <w:bCs/>
                <w:color w:val="FFFFFF"/>
                <w:sz w:val="21"/>
                <w:szCs w:val="21"/>
              </w:rPr>
            </w:pPr>
            <w:r>
              <w:rPr>
                <w:rFonts w:ascii="Times New Roman" w:hAnsi="Times New Roman" w:cs="Times New Roman"/>
                <w:b w:val="0"/>
                <w:bCs/>
                <w:sz w:val="21"/>
                <w:szCs w:val="21"/>
              </w:rPr>
              <w:t>中西部地区</w:t>
            </w:r>
          </w:p>
        </w:tc>
        <w:tc>
          <w:tcPr>
            <w:tcW w:w="0" w:type="auto"/>
            <w:shd w:val="clear" w:color="auto" w:fill="C7E2FA" w:themeFill="accent1" w:themeFillTint="33"/>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中部地区</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1489</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62.12%</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597</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69.02%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13" w:hRule="atLeast"/>
        </w:trPr>
        <w:tc>
          <w:tcPr>
            <w:tcW w:w="0" w:type="auto"/>
            <w:shd w:val="clear" w:color="auto" w:fill="C7E2FA" w:themeFill="accent1" w:themeFillTint="33"/>
            <w:vAlign w:val="center"/>
          </w:tcPr>
          <w:p>
            <w:pPr>
              <w:spacing w:before="0"/>
              <w:jc w:val="center"/>
              <w:rPr>
                <w:rFonts w:ascii="Times New Roman" w:hAnsi="Times New Roman" w:cs="Times New Roman"/>
                <w:b w:val="0"/>
                <w:bCs/>
                <w:color w:val="FFFFFF"/>
                <w:sz w:val="21"/>
                <w:szCs w:val="21"/>
              </w:rPr>
            </w:pPr>
            <w:r>
              <w:rPr>
                <w:rFonts w:ascii="Times New Roman" w:hAnsi="Times New Roman" w:cs="Times New Roman"/>
                <w:b w:val="0"/>
                <w:bCs/>
                <w:sz w:val="21"/>
                <w:szCs w:val="21"/>
              </w:rPr>
              <w:t>中西部地区</w:t>
            </w:r>
          </w:p>
        </w:tc>
        <w:tc>
          <w:tcPr>
            <w:tcW w:w="0" w:type="auto"/>
            <w:shd w:val="clear" w:color="auto" w:fill="C7E2FA" w:themeFill="accent1" w:themeFillTint="33"/>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西部地区</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320</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13.35%</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115</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13.29%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13" w:hRule="atLeast"/>
        </w:trPr>
        <w:tc>
          <w:tcPr>
            <w:tcW w:w="0" w:type="auto"/>
            <w:shd w:val="clear" w:color="auto" w:fill="C7E2FA" w:themeFill="accent1" w:themeFillTint="33"/>
            <w:vAlign w:val="center"/>
          </w:tcPr>
          <w:p>
            <w:pPr>
              <w:spacing w:before="0"/>
              <w:jc w:val="center"/>
              <w:rPr>
                <w:rFonts w:ascii="Times New Roman" w:hAnsi="Times New Roman" w:cs="Times New Roman"/>
                <w:b w:val="0"/>
                <w:bCs/>
                <w:color w:val="FFFFFF"/>
                <w:sz w:val="21"/>
                <w:szCs w:val="21"/>
              </w:rPr>
            </w:pPr>
            <w:r>
              <w:rPr>
                <w:rFonts w:ascii="Times New Roman" w:hAnsi="Times New Roman" w:cs="Times New Roman"/>
                <w:b w:val="0"/>
                <w:bCs/>
                <w:sz w:val="21"/>
                <w:szCs w:val="21"/>
              </w:rPr>
              <w:t>其他地区</w:t>
            </w:r>
          </w:p>
        </w:tc>
        <w:tc>
          <w:tcPr>
            <w:tcW w:w="0" w:type="auto"/>
            <w:shd w:val="clear" w:color="auto" w:fill="C7E2FA" w:themeFill="accent1" w:themeFillTint="33"/>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588</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24.53%</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153</w:t>
            </w:r>
          </w:p>
        </w:tc>
        <w:tc>
          <w:tcPr>
            <w:tcW w:w="0" w:type="auto"/>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13" w:hRule="atLeast"/>
        </w:trPr>
        <w:tc>
          <w:tcPr>
            <w:tcW w:w="0" w:type="auto"/>
            <w:shd w:val="clear" w:color="auto" w:fill="C7E2FA"/>
            <w:vAlign w:val="center"/>
          </w:tcPr>
          <w:p>
            <w:pPr>
              <w:spacing w:before="0"/>
              <w:jc w:val="center"/>
              <w:rPr>
                <w:rFonts w:ascii="Times New Roman" w:hAnsi="Times New Roman" w:cs="Times New Roman"/>
                <w:b w:val="0"/>
                <w:bCs/>
                <w:color w:val="FFFFFF"/>
                <w:sz w:val="21"/>
                <w:szCs w:val="21"/>
              </w:rPr>
            </w:pPr>
            <w:r>
              <w:rPr>
                <w:rFonts w:ascii="Times New Roman" w:hAnsi="Times New Roman" w:cs="Times New Roman"/>
                <w:b w:val="0"/>
                <w:bCs/>
                <w:sz w:val="21"/>
                <w:szCs w:val="21"/>
              </w:rPr>
              <w:t>合计</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2397</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100.00%</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865</w:t>
            </w:r>
          </w:p>
        </w:tc>
        <w:tc>
          <w:tcPr>
            <w:tcW w:w="0" w:type="auto"/>
            <w:shd w:val="clear" w:color="auto" w:fill="C7E2FA"/>
            <w:vAlign w:val="center"/>
          </w:tcPr>
          <w:p>
            <w:pPr>
              <w:spacing w:before="0"/>
              <w:jc w:val="center"/>
              <w:rPr>
                <w:rFonts w:ascii="Times New Roman" w:hAnsi="Times New Roman" w:cs="Times New Roman"/>
                <w:color w:val="FFFFFF"/>
                <w:sz w:val="21"/>
                <w:szCs w:val="21"/>
              </w:rPr>
            </w:pPr>
            <w:r>
              <w:rPr>
                <w:rFonts w:ascii="Times New Roman" w:hAnsi="Times New Roman" w:cs="Times New Roman"/>
                <w:sz w:val="21"/>
                <w:szCs w:val="21"/>
              </w:rPr>
              <w:t>100.00%</w:t>
            </w:r>
          </w:p>
        </w:tc>
      </w:tr>
    </w:tbl>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：湖北省高校毕业生就业办公系统。</w:t>
      </w:r>
    </w:p>
    <w:p>
      <w:pPr>
        <w:pStyle w:val="118"/>
        <w:ind w:firstLine="360"/>
        <w:jc w:val="center"/>
        <w:rPr>
          <w:color w:val="0F6FC6" w:themeColor="accent5"/>
          <w14:textFill>
            <w14:solidFill>
              <w14:schemeClr w14:val="accent5"/>
            </w14:solidFill>
          </w14:textFill>
        </w:rPr>
      </w:pPr>
      <w:r>
        <w:rPr>
          <w:rFonts w:hint="eastAsia"/>
          <w:color w:val="000000"/>
          <w:szCs w:val="21"/>
        </w:rPr>
        <w:drawing>
          <wp:inline distT="0" distB="0" distL="0" distR="0">
            <wp:extent cx="3057525" cy="1799590"/>
            <wp:effectExtent l="0" t="0" r="3175" b="381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218"/>
        <w:spacing w:before="156" w:after="156"/>
        <w:rPr>
          <w:bCs/>
        </w:rPr>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5</w:t>
      </w:r>
      <w:r>
        <w:fldChar w:fldCharType="end"/>
      </w:r>
      <w:r>
        <w:rPr>
          <w:rFonts w:hint="eastAsia"/>
          <w:color w:val="0F6FC6"/>
        </w:rPr>
        <w:t xml:space="preserve">  </w:t>
      </w:r>
      <w:r>
        <w:rPr>
          <w:color w:val="0F6FC6"/>
        </w:rPr>
        <w:t>2021届</w:t>
      </w:r>
      <w:r>
        <w:rPr>
          <w:rFonts w:hint="eastAsia"/>
          <w:bCs/>
        </w:rPr>
        <w:t>毕业生中西部地区就业情况分布</w:t>
      </w:r>
    </w:p>
    <w:p>
      <w:pPr>
        <w:pStyle w:val="218"/>
        <w:spacing w:before="156" w:after="156"/>
        <w:rPr>
          <w:color w:val="0F6FC6"/>
          <w:sz w:val="24"/>
        </w:rPr>
      </w:pPr>
      <w:r>
        <w:rPr>
          <w:rFonts w:hint="eastAsia"/>
          <w:color w:val="0F6FC6"/>
        </w:rPr>
        <w:t xml:space="preserve"> </w:t>
      </w:r>
    </w:p>
    <w:p>
      <w:pPr>
        <w:ind w:firstLine="360" w:firstLineChars="200"/>
        <w:rPr>
          <w:rFonts w:ascii="Times New Roman" w:hAnsi="Times New Roman"/>
          <w:caps/>
          <w:color w:val="0F6FC6"/>
          <w:sz w:val="18"/>
        </w:rPr>
      </w:pPr>
      <w:r>
        <w:rPr>
          <w:rFonts w:hint="eastAsia" w:ascii="Times New Roman" w:hAnsi="Times New Roman"/>
          <w:caps/>
          <w:color w:val="0F6FC6"/>
          <w:sz w:val="18"/>
        </w:rPr>
        <w:t>数据来源：湖北省高校毕业生就业办公系统。</w:t>
      </w:r>
    </w:p>
    <w:p>
      <w:pPr>
        <w:pStyle w:val="178"/>
        <w:spacing w:before="156"/>
        <w:ind w:firstLine="482"/>
      </w:pPr>
      <w:r>
        <w:rPr>
          <w:rFonts w:hint="eastAsia"/>
          <w:b/>
          <w:color w:val="0F6FC6" w:themeColor="accent5"/>
          <w14:textFill>
            <w14:solidFill>
              <w14:schemeClr w14:val="accent5"/>
            </w14:solidFill>
          </w14:textFill>
        </w:rPr>
        <w:t>省内</w:t>
      </w:r>
      <w:r>
        <w:rPr>
          <w:b/>
          <w:color w:val="0F6FC6" w:themeColor="accent5"/>
          <w14:textFill>
            <w14:solidFill>
              <w14:schemeClr w14:val="accent5"/>
            </w14:solidFill>
          </w14:textFill>
        </w:rPr>
        <w:t>就业城市：</w:t>
      </w:r>
      <w:r>
        <w:rPr>
          <w:rFonts w:hint="eastAsia"/>
        </w:rPr>
        <w:t>在省内就业的</w:t>
      </w:r>
      <w:r>
        <w:t>毕业生</w:t>
      </w:r>
      <w:r>
        <w:rPr>
          <w:rFonts w:hint="eastAsia"/>
        </w:rPr>
        <w:t>主要流向了荆门市（32.66%</w:t>
      </w:r>
      <w:r>
        <w:t>）</w:t>
      </w:r>
      <w:r>
        <w:rPr>
          <w:rFonts w:hint="eastAsia"/>
        </w:rPr>
        <w:t>和武汉市（32.12%</w:t>
      </w:r>
      <w:r>
        <w:t>）</w:t>
      </w:r>
      <w:r>
        <w:rPr>
          <w:rFonts w:hint="eastAsia"/>
        </w:rPr>
        <w:t>；其中，本科毕业生流向武汉市（37.10%</w:t>
      </w:r>
      <w:r>
        <w:t>）</w:t>
      </w:r>
      <w:r>
        <w:rPr>
          <w:rFonts w:hint="eastAsia"/>
        </w:rPr>
        <w:t>的占比相对较高；专科毕业生则主要流向了荆门市（42.25%</w:t>
      </w:r>
      <w:r>
        <w:t>）。</w:t>
      </w:r>
    </w:p>
    <w:p>
      <w:pPr>
        <w:pStyle w:val="218"/>
        <w:spacing w:before="156" w:after="156"/>
        <w:rPr>
          <w:bCs/>
          <w:color w:val="FF0000"/>
        </w:rPr>
      </w:pPr>
      <w:bookmarkStart w:id="95" w:name="_Toc521676306"/>
      <w:bookmarkStart w:id="96" w:name="_Toc521678814"/>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9</w:t>
      </w:r>
      <w:r>
        <w:fldChar w:fldCharType="end"/>
      </w:r>
      <w:r>
        <w:rPr>
          <w:bCs/>
        </w:rPr>
        <w:t xml:space="preserve">  </w:t>
      </w:r>
      <w:r>
        <w:rPr>
          <w:rFonts w:hint="eastAsia" w:eastAsia="宋体"/>
          <w:bCs/>
        </w:rPr>
        <w:t>2021</w:t>
      </w:r>
      <w:r>
        <w:rPr>
          <w:rFonts w:hint="eastAsia"/>
          <w:bCs/>
        </w:rPr>
        <w:t>届毕业生省内就业城市分布</w:t>
      </w:r>
      <w:bookmarkEnd w:id="95"/>
      <w:bookmarkEnd w:id="96"/>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683"/>
        <w:gridCol w:w="1145"/>
        <w:gridCol w:w="1039"/>
        <w:gridCol w:w="1124"/>
        <w:gridCol w:w="960"/>
        <w:gridCol w:w="1019"/>
        <w:gridCol w:w="103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vMerge w:val="restart"/>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省内就业城市</w:t>
            </w:r>
          </w:p>
        </w:tc>
        <w:tc>
          <w:tcPr>
            <w:tcW w:w="1213" w:type="pct"/>
            <w:gridSpan w:val="2"/>
            <w:tcBorders>
              <w:top w:val="single" w:color="0F6FC6" w:themeColor="accent1" w:sz="4" w:space="0"/>
              <w:left w:val="single" w:color="0F6FC6" w:themeColor="accent1" w:sz="4" w:space="0"/>
              <w:bottom w:val="single" w:color="0F6FC6" w:themeColor="accent1" w:sz="4" w:space="0"/>
              <w:right w:val="nil"/>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本科毕业生</w:t>
            </w:r>
          </w:p>
        </w:tc>
        <w:tc>
          <w:tcPr>
            <w:tcW w:w="1157" w:type="pct"/>
            <w:gridSpan w:val="2"/>
            <w:tcBorders>
              <w:top w:val="single" w:color="0F6FC6" w:sz="4" w:space="0"/>
              <w:left w:val="single" w:color="0F6FC6" w:themeColor="accent1" w:sz="4" w:space="0"/>
              <w:bottom w:val="single" w:color="0F6FC6" w:sz="4" w:space="0"/>
              <w:right w:val="nil"/>
              <w:insideH w:val="single" w:sz="4" w:space="0"/>
              <w:insideV w:val="nil"/>
            </w:tcBorders>
            <w:shd w:val="clear" w:color="auto" w:fill="0F6FC6"/>
            <w:noWrap/>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专科毕业生</w:t>
            </w:r>
          </w:p>
        </w:tc>
        <w:tc>
          <w:tcPr>
            <w:tcW w:w="1140" w:type="pct"/>
            <w:gridSpan w:val="2"/>
            <w:tcBorders>
              <w:top w:val="single" w:color="0F6FC6" w:sz="4" w:space="0"/>
              <w:left w:val="single" w:color="0F6FC6" w:themeColor="accent1"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vMerge w:val="continue"/>
            <w:tcBorders>
              <w:top w:val="single" w:color="0F6FC6" w:themeColor="accent1" w:sz="4" w:space="0"/>
              <w:left w:val="single" w:color="0F6FC6" w:themeColor="accent1" w:sz="4" w:space="0"/>
              <w:bottom w:val="single" w:color="0F6FC6" w:themeColor="accent1" w:sz="4" w:space="0"/>
              <w:right w:val="single" w:color="0F6FC6" w:themeColor="accent1" w:sz="4" w:space="0"/>
            </w:tcBorders>
            <w:shd w:val="clear" w:color="auto" w:fill="C7E2FA"/>
            <w:noWrap/>
            <w:vAlign w:val="center"/>
          </w:tcPr>
          <w:p>
            <w:pPr>
              <w:spacing w:before="0"/>
              <w:jc w:val="center"/>
              <w:rPr>
                <w:rFonts w:ascii="Times New Roman" w:hAnsi="Times New Roman" w:cs="Times New Roman"/>
                <w:b w:val="0"/>
                <w:bCs/>
                <w:sz w:val="21"/>
                <w:szCs w:val="21"/>
              </w:rPr>
            </w:pPr>
          </w:p>
        </w:tc>
        <w:tc>
          <w:tcPr>
            <w:tcW w:w="636" w:type="pct"/>
            <w:tcBorders>
              <w:top w:val="single" w:color="0F6FC6" w:themeColor="accent1" w:sz="4" w:space="0"/>
              <w:left w:val="single" w:color="0F6FC6" w:themeColor="accent1" w:sz="4" w:space="0"/>
            </w:tcBorders>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人数</w:t>
            </w:r>
          </w:p>
        </w:tc>
        <w:tc>
          <w:tcPr>
            <w:tcW w:w="577" w:type="pct"/>
            <w:tcBorders>
              <w:top w:val="single" w:color="0F6FC6" w:themeColor="accent1" w:sz="4" w:space="0"/>
            </w:tcBorders>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占比</w:t>
            </w:r>
          </w:p>
        </w:tc>
        <w:tc>
          <w:tcPr>
            <w:tcW w:w="624" w:type="pct"/>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人数</w:t>
            </w:r>
          </w:p>
        </w:tc>
        <w:tc>
          <w:tcPr>
            <w:tcW w:w="533" w:type="pct"/>
            <w:shd w:val="clear" w:color="auto" w:fill="C7E2FA"/>
            <w:noWrap/>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占比</w:t>
            </w:r>
          </w:p>
        </w:tc>
        <w:tc>
          <w:tcPr>
            <w:tcW w:w="566" w:type="pct"/>
            <w:shd w:val="clear" w:color="auto" w:fill="C7E2FA"/>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人数</w:t>
            </w:r>
          </w:p>
        </w:tc>
        <w:tc>
          <w:tcPr>
            <w:tcW w:w="574" w:type="pct"/>
            <w:shd w:val="clear" w:color="auto" w:fill="C7E2FA"/>
            <w:vAlign w:val="center"/>
          </w:tcPr>
          <w:p>
            <w:pPr>
              <w:spacing w:before="0"/>
              <w:jc w:val="center"/>
              <w:rPr>
                <w:rFonts w:ascii="Times New Roman" w:hAnsi="Times New Roman" w:cs="Times New Roman"/>
                <w:b/>
                <w:bCs/>
                <w:color w:val="FFFFFF" w:themeColor="background1"/>
                <w:sz w:val="21"/>
                <w:szCs w:val="21"/>
                <w14:textFill>
                  <w14:solidFill>
                    <w14:schemeClr w14:val="bg1"/>
                  </w14:solidFill>
                </w14:textFill>
              </w:rPr>
            </w:pPr>
            <w:r>
              <w:rPr>
                <w:rFonts w:ascii="Times New Roman" w:hAnsi="Times New Roman" w:cs="Times New Roman"/>
                <w:b/>
                <w:bCs/>
                <w:color w:val="FFFFFF" w:themeColor="background1"/>
                <w:sz w:val="21"/>
                <w:szCs w:val="21"/>
                <w14:textFill>
                  <w14:solidFill>
                    <w14:schemeClr w14:val="bg1"/>
                  </w14:solidFill>
                </w14:textFill>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tcBorders>
              <w:top w:val="single" w:color="0F6FC6" w:themeColor="accent1" w:sz="4" w:space="0"/>
            </w:tcBorders>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荆门市</w:t>
            </w:r>
          </w:p>
        </w:tc>
        <w:tc>
          <w:tcPr>
            <w:tcW w:w="636"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382</w:t>
            </w:r>
          </w:p>
        </w:tc>
        <w:tc>
          <w:tcPr>
            <w:tcW w:w="577"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28.74%</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229</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42.25%</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611</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32.66%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武汉市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493</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37.10%</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108</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19.93%</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601</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32.12%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宜昌市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62</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4.67%</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6.83%</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99</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十堰市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69</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5.19%</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22</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4.06%</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91</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襄阳市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53</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3.99%</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3.87%</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74</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3.96%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黄冈市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52</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3.91%</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3.51%</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71</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孝感市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37</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2.78%</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3.87%</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58</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3.10%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恩施土家族苗族自治州</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36</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2.71%</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3.87%</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57</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3.05%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荆州市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39</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2.93%</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2.95%</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55</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咸宁市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27</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2.03%</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2.58%</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2.19%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黄石市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17</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1.28%</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2.03%</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28</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鄂州市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16</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1.20%</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1.29%</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23</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随州市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13</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0.98%</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1.48%</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1.12%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仙桃市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14</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1.05%</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0.18%</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天门市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8</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0.60%</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0.37%</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0.53%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潜江市</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5</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0.38%</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0.74%</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0.48%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监利市</w:t>
            </w:r>
          </w:p>
        </w:tc>
        <w:tc>
          <w:tcPr>
            <w:tcW w:w="636"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4</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0.30%</w:t>
            </w:r>
          </w:p>
        </w:tc>
        <w:tc>
          <w:tcPr>
            <w:tcW w:w="624" w:type="pct"/>
            <w:noWrap/>
            <w:vAlign w:val="center"/>
          </w:tcPr>
          <w:p>
            <w:pPr>
              <w:spacing w:before="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0.21%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shd w:val="clear" w:color="auto" w:fill="C7E2FA"/>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神农架林区</w:t>
            </w:r>
          </w:p>
        </w:tc>
        <w:tc>
          <w:tcPr>
            <w:tcW w:w="636"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2</w:t>
            </w:r>
          </w:p>
        </w:tc>
        <w:tc>
          <w:tcPr>
            <w:tcW w:w="577" w:type="pct"/>
            <w:shd w:val="clear" w:color="auto" w:fill="C7E2FA"/>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0.15%</w:t>
            </w:r>
          </w:p>
        </w:tc>
        <w:tc>
          <w:tcPr>
            <w:tcW w:w="624" w:type="pct"/>
            <w:shd w:val="clear" w:color="auto" w:fill="C7E2FA"/>
            <w:noWrap/>
            <w:vAlign w:val="center"/>
          </w:tcPr>
          <w:p>
            <w:pPr>
              <w:spacing w:before="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w:t>
            </w:r>
          </w:p>
        </w:tc>
        <w:tc>
          <w:tcPr>
            <w:tcW w:w="533" w:type="pct"/>
            <w:shd w:val="clear" w:color="auto" w:fill="C7E2FA"/>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566"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574" w:type="pct"/>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340" w:hRule="atLeast"/>
        </w:trPr>
        <w:tc>
          <w:tcPr>
            <w:tcW w:w="1490" w:type="pct"/>
            <w:noWrap/>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荆州经济技术开发区</w:t>
            </w:r>
          </w:p>
        </w:tc>
        <w:tc>
          <w:tcPr>
            <w:tcW w:w="636" w:type="pct"/>
            <w:noWrap/>
            <w:vAlign w:val="center"/>
          </w:tcPr>
          <w:p>
            <w:pPr>
              <w:spacing w:before="0"/>
              <w:jc w:val="center"/>
              <w:rPr>
                <w:rFonts w:ascii="Times New Roman" w:hAnsi="Times New Roman" w:cs="Times New Roman"/>
                <w:bCs/>
                <w:color w:val="000000"/>
                <w:sz w:val="21"/>
                <w:szCs w:val="21"/>
              </w:rPr>
            </w:pPr>
            <w:r>
              <w:rPr>
                <w:rFonts w:hint="eastAsia" w:ascii="Times New Roman" w:hAnsi="Times New Roman" w:cs="Times New Roman"/>
                <w:color w:val="000000"/>
                <w:sz w:val="21"/>
                <w:szCs w:val="21"/>
              </w:rPr>
              <w:t>-</w:t>
            </w:r>
          </w:p>
        </w:tc>
        <w:tc>
          <w:tcPr>
            <w:tcW w:w="577" w:type="pct"/>
            <w:noWrap/>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color w:val="000000"/>
                <w:sz w:val="21"/>
                <w:szCs w:val="21"/>
              </w:rPr>
              <w:t>-</w:t>
            </w:r>
          </w:p>
        </w:tc>
        <w:tc>
          <w:tcPr>
            <w:tcW w:w="624"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533" w:type="pct"/>
            <w:noWrap/>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0.18%</w:t>
            </w:r>
          </w:p>
        </w:tc>
        <w:tc>
          <w:tcPr>
            <w:tcW w:w="566"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574" w:type="pct"/>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0.05%</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spacing w:before="156" w:beforeLines="50" w:line="360" w:lineRule="auto"/>
        <w:ind w:firstLine="480" w:firstLineChars="200"/>
        <w:jc w:val="both"/>
        <w:rPr>
          <w:rFonts w:ascii="Times New Roman" w:hAnsi="Times New Roman"/>
          <w:color w:val="000000"/>
        </w:rPr>
      </w:pPr>
      <w:r>
        <w:rPr>
          <w:rFonts w:hint="eastAsia" w:ascii="Times New Roman" w:hAnsi="Times New Roman"/>
          <w:b/>
          <w:color w:val="0F6FC6"/>
        </w:rPr>
        <w:t>生源地</w:t>
      </w:r>
      <w:r>
        <w:rPr>
          <w:rFonts w:ascii="Times New Roman" w:hAnsi="Times New Roman"/>
          <w:b/>
          <w:color w:val="0F6FC6"/>
        </w:rPr>
        <w:t>与就业地域交叉</w:t>
      </w:r>
      <w:r>
        <w:rPr>
          <w:rFonts w:hint="eastAsia" w:ascii="Times New Roman" w:hAnsi="Times New Roman"/>
          <w:b/>
          <w:color w:val="0F6FC6"/>
        </w:rPr>
        <w:t>分析</w:t>
      </w:r>
      <w:r>
        <w:rPr>
          <w:rFonts w:ascii="Times New Roman" w:hAnsi="Times New Roman"/>
          <w:b/>
          <w:color w:val="0F6FC6"/>
        </w:rPr>
        <w:t>：</w:t>
      </w:r>
      <w:r>
        <w:rPr>
          <w:rFonts w:hint="eastAsia" w:ascii="Times New Roman" w:hAnsi="Times New Roman"/>
          <w:color w:val="000000"/>
        </w:rPr>
        <w:t>省内生源中，79.08%选择留在本省就业；23.41%的省外生源选择在省内就业，51.85%的省外生源回生源地就业。</w:t>
      </w:r>
    </w:p>
    <w:p>
      <w:pPr>
        <w:spacing w:before="156" w:beforeLines="50" w:line="360" w:lineRule="auto"/>
        <w:ind w:firstLine="480" w:firstLineChars="200"/>
        <w:jc w:val="center"/>
        <w:rPr>
          <w:rFonts w:ascii="Times New Roman" w:hAnsi="Times New Roman"/>
          <w:color w:val="000000"/>
          <w:szCs w:val="21"/>
          <w:lang w:val="zh-CN"/>
        </w:rPr>
      </w:pPr>
      <w:r>
        <w:rPr>
          <w:rFonts w:hint="eastAsia"/>
          <w:color w:val="000000"/>
          <w:szCs w:val="21"/>
        </w:rPr>
        <w:drawing>
          <wp:inline distT="0" distB="0" distL="0" distR="0">
            <wp:extent cx="3057525" cy="1799590"/>
            <wp:effectExtent l="0" t="0" r="0"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218"/>
        <w:spacing w:before="156" w:after="156"/>
        <w:rPr>
          <w:color w:val="0F6FC6"/>
          <w:sz w:val="24"/>
        </w:rPr>
      </w:pPr>
      <w:bookmarkStart w:id="97" w:name="_Toc80114386"/>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6</w:t>
      </w:r>
      <w:r>
        <w:fldChar w:fldCharType="end"/>
      </w:r>
      <w:r>
        <w:rPr>
          <w:rFonts w:hint="eastAsia"/>
          <w:color w:val="0F6FC6"/>
        </w:rPr>
        <w:t xml:space="preserve">  </w:t>
      </w:r>
      <w:r>
        <w:rPr>
          <w:color w:val="0F6FC6"/>
        </w:rPr>
        <w:t>2021届</w:t>
      </w:r>
      <w:r>
        <w:rPr>
          <w:rFonts w:hint="eastAsia"/>
          <w:color w:val="0F6FC6"/>
        </w:rPr>
        <w:t>省内生源毕业生就业</w:t>
      </w:r>
      <w:r>
        <w:rPr>
          <w:color w:val="0F6FC6"/>
        </w:rPr>
        <w:t>地区分布</w:t>
      </w:r>
      <w:bookmarkEnd w:id="97"/>
      <w:r>
        <w:rPr>
          <w:rFonts w:hint="eastAsia"/>
          <w:color w:val="0F6FC6"/>
        </w:rPr>
        <w:t xml:space="preserve"> </w:t>
      </w:r>
    </w:p>
    <w:p>
      <w:pPr>
        <w:ind w:firstLine="360" w:firstLineChars="200"/>
        <w:rPr>
          <w:rFonts w:ascii="Times New Roman" w:hAnsi="Times New Roman"/>
          <w:caps/>
          <w:color w:val="0F6FC6"/>
          <w:sz w:val="18"/>
        </w:rPr>
      </w:pPr>
      <w:r>
        <w:rPr>
          <w:rFonts w:hint="eastAsia" w:ascii="Times New Roman" w:hAnsi="Times New Roman"/>
          <w:caps/>
          <w:color w:val="0F6FC6"/>
          <w:sz w:val="18"/>
        </w:rPr>
        <w:t>数据来源：湖北省高校毕业生就业办公系统。</w:t>
      </w:r>
    </w:p>
    <w:p>
      <w:pPr>
        <w:spacing w:before="156" w:beforeLines="50" w:after="156" w:afterLines="50" w:line="360" w:lineRule="auto"/>
        <w:ind w:firstLine="480" w:firstLineChars="200"/>
        <w:jc w:val="center"/>
        <w:rPr>
          <w:rFonts w:ascii="Times New Roman" w:hAnsi="Times New Roman"/>
          <w:color w:val="000000"/>
          <w:szCs w:val="21"/>
          <w:lang w:val="zh-CN"/>
        </w:rPr>
      </w:pPr>
      <w:r>
        <w:rPr>
          <w:rFonts w:hint="eastAsia"/>
          <w:color w:val="000000"/>
          <w:szCs w:val="21"/>
        </w:rPr>
        <w:drawing>
          <wp:inline distT="0" distB="0" distL="0" distR="0">
            <wp:extent cx="3759835" cy="1799590"/>
            <wp:effectExtent l="0" t="0" r="0" b="0"/>
            <wp:docPr id="536" name="图表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218"/>
        <w:spacing w:before="156" w:after="156"/>
        <w:rPr>
          <w:color w:val="0F6FC6"/>
          <w:sz w:val="24"/>
        </w:rPr>
      </w:pPr>
      <w:bookmarkStart w:id="98" w:name="_Toc80114387"/>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7</w:t>
      </w:r>
      <w:r>
        <w:fldChar w:fldCharType="end"/>
      </w:r>
      <w:r>
        <w:rPr>
          <w:rFonts w:hint="eastAsia"/>
          <w:color w:val="0F6FC6"/>
        </w:rPr>
        <w:t xml:space="preserve">  </w:t>
      </w:r>
      <w:r>
        <w:rPr>
          <w:color w:val="0F6FC6"/>
        </w:rPr>
        <w:t>2021届</w:t>
      </w:r>
      <w:r>
        <w:rPr>
          <w:rFonts w:hint="eastAsia"/>
          <w:color w:val="0F6FC6"/>
        </w:rPr>
        <w:t>省外生源毕业生就业</w:t>
      </w:r>
      <w:r>
        <w:rPr>
          <w:color w:val="0F6FC6"/>
        </w:rPr>
        <w:t>地区分布</w:t>
      </w:r>
      <w:bookmarkEnd w:id="98"/>
      <w:r>
        <w:rPr>
          <w:rFonts w:hint="eastAsia"/>
          <w:color w:val="0F6FC6"/>
        </w:rPr>
        <w:t xml:space="preserve"> </w:t>
      </w:r>
    </w:p>
    <w:p>
      <w:pPr>
        <w:ind w:firstLine="360" w:firstLineChars="200"/>
        <w:rPr>
          <w:rFonts w:ascii="Times New Roman" w:hAnsi="Times New Roman"/>
          <w:caps/>
          <w:color w:val="0F6FC6"/>
          <w:sz w:val="18"/>
        </w:rPr>
      </w:pPr>
      <w:r>
        <w:rPr>
          <w:rFonts w:hint="eastAsia" w:ascii="Times New Roman" w:hAnsi="Times New Roman"/>
          <w:caps/>
          <w:color w:val="0F6FC6"/>
          <w:sz w:val="18"/>
        </w:rPr>
        <w:t>数据来源：湖北省高校毕业生就业办公系统。</w:t>
      </w:r>
    </w:p>
    <w:p>
      <w:pPr>
        <w:spacing w:before="156" w:beforeLines="50" w:line="360" w:lineRule="auto"/>
        <w:ind w:firstLine="480" w:firstLineChars="200"/>
        <w:jc w:val="both"/>
        <w:rPr>
          <w:rFonts w:ascii="Times New Roman" w:hAnsi="Times New Roman"/>
          <w:color w:val="000000"/>
        </w:rPr>
      </w:pPr>
      <w:r>
        <w:rPr>
          <w:rFonts w:hint="eastAsia" w:ascii="Times New Roman" w:hAnsi="Times New Roman"/>
          <w:color w:val="000000"/>
        </w:rPr>
        <w:t>2</w:t>
      </w:r>
      <w:r>
        <w:rPr>
          <w:rFonts w:ascii="Times New Roman" w:hAnsi="Times New Roman"/>
          <w:color w:val="000000"/>
        </w:rPr>
        <w:t>021</w:t>
      </w:r>
      <w:r>
        <w:rPr>
          <w:rFonts w:hint="eastAsia" w:ascii="Times New Roman" w:hAnsi="Times New Roman"/>
          <w:color w:val="000000"/>
        </w:rPr>
        <w:t>届荆门市生源中，</w:t>
      </w:r>
      <w:r>
        <w:rPr>
          <w:rFonts w:ascii="Times New Roman" w:hAnsi="Times New Roman"/>
          <w:color w:val="000000" w:themeColor="text1"/>
          <w14:textFill>
            <w14:solidFill>
              <w14:schemeClr w14:val="tx1"/>
            </w14:solidFill>
          </w14:textFill>
        </w:rPr>
        <w:t>85.11</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rPr>
        <w:t>选择留在荆门市就业；</w:t>
      </w:r>
      <w:r>
        <w:rPr>
          <w:rFonts w:ascii="Times New Roman" w:hAnsi="Times New Roman"/>
          <w:color w:val="000000"/>
        </w:rPr>
        <w:t>14.89</w:t>
      </w:r>
      <w:r>
        <w:rPr>
          <w:rFonts w:hint="eastAsia" w:ascii="Times New Roman" w:hAnsi="Times New Roman"/>
          <w:color w:val="000000"/>
        </w:rPr>
        <w:t>%的毕业生选择在荆门市外就业。</w:t>
      </w:r>
    </w:p>
    <w:p>
      <w:pPr>
        <w:ind w:firstLine="480" w:firstLineChars="200"/>
        <w:jc w:val="center"/>
        <w:rPr>
          <w:rFonts w:ascii="Times New Roman" w:hAnsi="Times New Roman"/>
          <w:caps/>
          <w:color w:val="0F6FC6"/>
          <w:sz w:val="18"/>
        </w:rPr>
      </w:pPr>
      <w:r>
        <w:rPr>
          <w:rFonts w:hint="eastAsia"/>
          <w:color w:val="000000"/>
          <w:szCs w:val="21"/>
        </w:rPr>
        <w:drawing>
          <wp:inline distT="0" distB="0" distL="0" distR="0">
            <wp:extent cx="3057525" cy="1799590"/>
            <wp:effectExtent l="0" t="0" r="3175" b="381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218"/>
        <w:spacing w:before="156" w:after="156"/>
        <w:rPr>
          <w:color w:val="0F6FC6"/>
          <w:sz w:val="24"/>
        </w:rPr>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8</w:t>
      </w:r>
      <w:r>
        <w:fldChar w:fldCharType="end"/>
      </w:r>
      <w:r>
        <w:rPr>
          <w:rFonts w:hint="eastAsia"/>
          <w:color w:val="0F6FC6"/>
        </w:rPr>
        <w:t xml:space="preserve">  </w:t>
      </w:r>
      <w:r>
        <w:rPr>
          <w:color w:val="0F6FC6"/>
        </w:rPr>
        <w:t>2021届</w:t>
      </w:r>
      <w:r>
        <w:rPr>
          <w:rFonts w:hint="eastAsia"/>
          <w:color w:val="0F6FC6"/>
        </w:rPr>
        <w:t>荆门市生源毕业生就业</w:t>
      </w:r>
      <w:r>
        <w:rPr>
          <w:color w:val="0F6FC6"/>
        </w:rPr>
        <w:t>地区分布</w:t>
      </w:r>
      <w:r>
        <w:rPr>
          <w:rFonts w:hint="eastAsia"/>
          <w:color w:val="0F6FC6"/>
        </w:rPr>
        <w:t xml:space="preserve"> </w:t>
      </w:r>
    </w:p>
    <w:p>
      <w:pPr>
        <w:ind w:firstLine="360" w:firstLineChars="200"/>
        <w:rPr>
          <w:rFonts w:ascii="Times New Roman" w:hAnsi="Times New Roman"/>
          <w:caps/>
          <w:color w:val="0F6FC6"/>
          <w:sz w:val="18"/>
        </w:rPr>
      </w:pPr>
      <w:r>
        <w:rPr>
          <w:rFonts w:hint="eastAsia" w:ascii="Times New Roman" w:hAnsi="Times New Roman"/>
          <w:caps/>
          <w:color w:val="0F6FC6"/>
          <w:sz w:val="18"/>
        </w:rPr>
        <w:t>数据来源：湖北省高校毕业生就业办公系统。</w:t>
      </w:r>
    </w:p>
    <w:p>
      <w:pPr>
        <w:ind w:firstLine="360" w:firstLineChars="200"/>
        <w:jc w:val="center"/>
        <w:rPr>
          <w:rFonts w:ascii="Times New Roman" w:hAnsi="Times New Roman"/>
          <w:caps/>
          <w:color w:val="0F6FC6"/>
          <w:sz w:val="18"/>
        </w:rPr>
      </w:pPr>
    </w:p>
    <w:p>
      <w:pPr>
        <w:pStyle w:val="151"/>
        <w:rPr>
          <w:color w:val="0F6FC6" w:themeColor="accent5"/>
          <w14:textFill>
            <w14:solidFill>
              <w14:schemeClr w14:val="accent5"/>
            </w14:solidFill>
          </w14:textFill>
        </w:rPr>
      </w:pPr>
      <w:bookmarkStart w:id="99" w:name="_Toc520907401"/>
      <w:bookmarkStart w:id="100" w:name="_Toc92706720"/>
      <w:bookmarkStart w:id="101" w:name="_Toc82010495"/>
      <w:r>
        <w:rPr>
          <w:rFonts w:hint="eastAsia"/>
          <w:color w:val="0F6FC6" w:themeColor="accent5"/>
          <w14:textFill>
            <w14:solidFill>
              <w14:schemeClr w14:val="accent5"/>
            </w14:solidFill>
          </w14:textFill>
        </w:rPr>
        <w:t>（二</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就业行业</w:t>
      </w:r>
      <w:bookmarkEnd w:id="99"/>
      <w:bookmarkEnd w:id="100"/>
      <w:bookmarkEnd w:id="101"/>
    </w:p>
    <w:p>
      <w:pPr>
        <w:spacing w:line="360" w:lineRule="auto"/>
        <w:ind w:firstLine="480" w:firstLineChars="200"/>
        <w:jc w:val="both"/>
      </w:pPr>
      <w:r>
        <w:rPr>
          <w:rFonts w:hint="eastAsia"/>
        </w:rPr>
        <w:t>通过调研分析毕业生就业行业流向，可以有效掌握毕业生就业规律，为学校未来的就业指导和服务工作提供决策参考。</w:t>
      </w:r>
    </w:p>
    <w:p>
      <w:pPr>
        <w:pStyle w:val="178"/>
        <w:spacing w:before="156"/>
        <w:ind w:firstLine="480"/>
      </w:pPr>
      <w:r>
        <w:rPr>
          <w:rFonts w:hint="eastAsia"/>
        </w:rPr>
        <w:t>学校</w:t>
      </w:r>
      <w:r>
        <w:rPr>
          <w:rFonts w:hint="eastAsia"/>
          <w:lang w:val="en-US"/>
        </w:rPr>
        <w:t>2021届</w:t>
      </w:r>
      <w:r>
        <w:rPr>
          <w:rFonts w:hint="eastAsia"/>
        </w:rPr>
        <w:t>毕业生</w:t>
      </w:r>
      <w:r>
        <w:t>行业</w:t>
      </w:r>
      <w:r>
        <w:rPr>
          <w:rFonts w:hint="eastAsia"/>
        </w:rPr>
        <w:t>布局与学校</w:t>
      </w:r>
      <w:r>
        <w:t>专业</w:t>
      </w:r>
      <w:r>
        <w:rPr>
          <w:rFonts w:hint="eastAsia"/>
        </w:rPr>
        <w:t>设置</w:t>
      </w:r>
      <w:r>
        <w:t>及</w:t>
      </w:r>
      <w:r>
        <w:rPr>
          <w:rFonts w:hint="eastAsia"/>
        </w:rPr>
        <w:t>培养定位相契合</w:t>
      </w:r>
      <w:r>
        <w:rPr>
          <w:rFonts w:hint="eastAsia"/>
          <w:lang w:val="en-US"/>
        </w:rPr>
        <w:t>；</w:t>
      </w:r>
      <w:r>
        <w:t>主要</w:t>
      </w:r>
      <w:r>
        <w:rPr>
          <w:rFonts w:hint="eastAsia"/>
        </w:rPr>
        <w:t>流向了</w:t>
      </w:r>
      <w:r>
        <w:rPr>
          <w:rFonts w:hint="eastAsia"/>
          <w:lang w:val="en-US"/>
        </w:rPr>
        <w:t>“卫生和社会工作”（25.18%）、“教育”（18.98%）及“制造业”（10.87%）</w:t>
      </w:r>
      <w:r>
        <w:rPr>
          <w:rFonts w:hint="eastAsia"/>
        </w:rPr>
        <w:t>。从不同</w:t>
      </w:r>
      <w:r>
        <w:t>学历层次来看</w:t>
      </w:r>
      <w:r>
        <w:rPr>
          <w:rFonts w:hint="eastAsia"/>
        </w:rPr>
        <w:t>，本科毕业生主要行业流向为“教育”（23.89%），“制造业”（12.99%）次之；专科毕业生主要行业流向为“卫生和社会工作”（60.09%），“教育”（5.34%）次之</w:t>
      </w:r>
      <w:r>
        <w:t>。</w:t>
      </w:r>
    </w:p>
    <w:p>
      <w:pPr>
        <w:pStyle w:val="178"/>
        <w:spacing w:before="156"/>
        <w:ind w:firstLine="480"/>
        <w:jc w:val="center"/>
      </w:pPr>
      <w:r>
        <w:rPr>
          <w:lang w:val="en-US"/>
        </w:rPr>
        <w:drawing>
          <wp:inline distT="0" distB="0" distL="0" distR="0">
            <wp:extent cx="5200650" cy="3267075"/>
            <wp:effectExtent l="0" t="0" r="0" b="0"/>
            <wp:docPr id="98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18"/>
        <w:spacing w:before="156" w:after="156"/>
      </w:pPr>
      <w:bookmarkStart w:id="102" w:name="_Toc521678816"/>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9</w:t>
      </w:r>
      <w:r>
        <w:fldChar w:fldCharType="end"/>
      </w:r>
      <w:r>
        <w:t xml:space="preserve"> </w:t>
      </w:r>
      <w:r>
        <w:rPr>
          <w:rFonts w:hint="eastAsia"/>
        </w:rPr>
        <w:t xml:space="preserve"> </w:t>
      </w:r>
      <w:r>
        <w:rPr>
          <w:rFonts w:hint="eastAsia" w:eastAsia="宋体"/>
        </w:rPr>
        <w:t>2021</w:t>
      </w:r>
      <w:r>
        <w:rPr>
          <w:rFonts w:hint="eastAsia"/>
        </w:rPr>
        <w:t>届毕业生就业量</w:t>
      </w:r>
      <w:r>
        <w:t>最大的前十个</w:t>
      </w:r>
      <w:r>
        <w:rPr>
          <w:rFonts w:hint="eastAsia"/>
        </w:rPr>
        <w:t>行业分布</w:t>
      </w:r>
      <w:bookmarkEnd w:id="102"/>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10</w:t>
      </w:r>
      <w:r>
        <w:fldChar w:fldCharType="end"/>
      </w:r>
      <w:r>
        <w:t xml:space="preserve"> </w:t>
      </w:r>
      <w:r>
        <w:rPr>
          <w:rFonts w:hint="eastAsia"/>
        </w:rPr>
        <w:t xml:space="preserve"> </w:t>
      </w:r>
      <w:r>
        <w:rPr>
          <w:rFonts w:hint="eastAsia" w:eastAsia="宋体"/>
        </w:rPr>
        <w:t>2021</w:t>
      </w:r>
      <w:r>
        <w:rPr>
          <w:rFonts w:hint="eastAsia"/>
        </w:rPr>
        <w:t>届本科</w:t>
      </w:r>
      <w:r>
        <w:t>毕业生</w:t>
      </w:r>
      <w:r>
        <w:rPr>
          <w:rFonts w:hint="eastAsia"/>
        </w:rPr>
        <w:t>就业量</w:t>
      </w:r>
      <w:r>
        <w:t>占比排名前十的</w:t>
      </w:r>
      <w:r>
        <w:rPr>
          <w:rFonts w:hint="eastAsia"/>
        </w:rPr>
        <w:t>行业分布</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7252"/>
        <w:gridCol w:w="175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就业行业</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教育</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23.89%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制造业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12.99%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卫生和社会工作</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12.61%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信息传输、软件和信息技术服务业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9.98%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批发和零售业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8.77%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文化、体育和娱乐业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5.39%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建筑业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3.84%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科学研究和技术服务业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2.97%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电力、热力、燃气及水生产和供应业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租赁和商务服务业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2.76%</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118"/>
        <w:ind w:firstLine="360"/>
        <w:rPr>
          <w:color w:val="0F6FC6" w:themeColor="accent5"/>
          <w14:textFill>
            <w14:solidFill>
              <w14:schemeClr w14:val="accent5"/>
            </w14:solidFill>
          </w14:textFill>
        </w:rPr>
      </w:pP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11</w:t>
      </w:r>
      <w:r>
        <w:fldChar w:fldCharType="end"/>
      </w:r>
      <w:r>
        <w:t xml:space="preserve"> </w:t>
      </w:r>
      <w:r>
        <w:rPr>
          <w:rFonts w:hint="eastAsia"/>
        </w:rPr>
        <w:t xml:space="preserve"> </w:t>
      </w:r>
      <w:r>
        <w:rPr>
          <w:rFonts w:hint="eastAsia" w:eastAsia="宋体"/>
        </w:rPr>
        <w:t>2021</w:t>
      </w:r>
      <w:r>
        <w:rPr>
          <w:rFonts w:hint="eastAsia"/>
        </w:rPr>
        <w:t>届专科</w:t>
      </w:r>
      <w:r>
        <w:t>毕业生</w:t>
      </w:r>
      <w:r>
        <w:rPr>
          <w:rFonts w:hint="eastAsia"/>
        </w:rPr>
        <w:t>就业量</w:t>
      </w:r>
      <w:r>
        <w:t>占比排名前十的</w:t>
      </w:r>
      <w:r>
        <w:rPr>
          <w:rFonts w:hint="eastAsia"/>
        </w:rPr>
        <w:t>行业分布</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7165"/>
        <w:gridCol w:w="1839"/>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就业行业</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卫生和社会工作</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60.09%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教育</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5.34%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制造业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4.99%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批发和零售业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4.99%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信息传输、软件和信息技术服务业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文化、体育和娱乐业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3.13%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军队</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3.02%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居民服务、修理和其他服务业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住宿和餐饮业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val="0"/>
                <w:bCs/>
                <w:color w:val="000000"/>
                <w:sz w:val="21"/>
                <w:szCs w:val="21"/>
              </w:rPr>
            </w:pPr>
            <w:r>
              <w:rPr>
                <w:rFonts w:ascii="Times New Roman" w:hAnsi="Times New Roman" w:cs="Times New Roman"/>
                <w:b w:val="0"/>
                <w:bCs/>
                <w:sz w:val="21"/>
                <w:szCs w:val="21"/>
              </w:rPr>
              <w:t>公共管理、社会保障和社会组织</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1.62%</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151"/>
        <w:rPr>
          <w:color w:val="0F6FC6" w:themeColor="accent5"/>
          <w14:textFill>
            <w14:solidFill>
              <w14:schemeClr w14:val="accent5"/>
            </w14:solidFill>
          </w14:textFill>
        </w:rPr>
      </w:pPr>
      <w:bookmarkStart w:id="103" w:name="_Toc520907402"/>
      <w:bookmarkStart w:id="104" w:name="_Toc92706721"/>
      <w:bookmarkStart w:id="105" w:name="_Toc82010496"/>
      <w:r>
        <w:rPr>
          <w:rFonts w:hint="eastAsia"/>
          <w:color w:val="0F6FC6" w:themeColor="accent5"/>
          <w14:textFill>
            <w14:solidFill>
              <w14:schemeClr w14:val="accent5"/>
            </w14:solidFill>
          </w14:textFill>
        </w:rPr>
        <w:t>（三</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就业</w:t>
      </w:r>
      <w:r>
        <w:rPr>
          <w:color w:val="0F6FC6" w:themeColor="accent5"/>
          <w14:textFill>
            <w14:solidFill>
              <w14:schemeClr w14:val="accent5"/>
            </w14:solidFill>
          </w14:textFill>
        </w:rPr>
        <w:t>职业</w:t>
      </w:r>
      <w:bookmarkEnd w:id="103"/>
      <w:bookmarkEnd w:id="104"/>
      <w:bookmarkEnd w:id="105"/>
    </w:p>
    <w:p>
      <w:pPr>
        <w:spacing w:line="360" w:lineRule="auto"/>
        <w:ind w:firstLine="480" w:firstLineChars="200"/>
        <w:jc w:val="both"/>
      </w:pPr>
      <w:r>
        <w:rPr>
          <w:rFonts w:hint="eastAsia"/>
        </w:rPr>
        <w:t>通过调研分析毕业生就业职业分布情况，可以了解学生在就业市场上的优势和局限，进而有助于学校优化完善人才培养模式，提高人才培养水平，确保毕业生更高质量就业。</w:t>
      </w:r>
    </w:p>
    <w:p>
      <w:pPr>
        <w:pStyle w:val="178"/>
        <w:spacing w:before="156"/>
        <w:ind w:firstLine="480"/>
        <w:rPr>
          <w:lang w:val="en-US"/>
        </w:rPr>
      </w:pPr>
      <w:bookmarkStart w:id="106" w:name="_Toc521678818"/>
      <w:bookmarkStart w:id="107" w:name="_Toc521676308"/>
      <w:r>
        <w:rPr>
          <w:rFonts w:hint="eastAsia"/>
          <w:lang w:val="en-US"/>
        </w:rPr>
        <w:t>2021届</w:t>
      </w:r>
      <w:r>
        <w:t>毕业生</w:t>
      </w:r>
      <w:r>
        <w:rPr>
          <w:rFonts w:hint="eastAsia"/>
        </w:rPr>
        <w:t>所</w:t>
      </w:r>
      <w:r>
        <w:t>从事</w:t>
      </w:r>
      <w:r>
        <w:rPr>
          <w:rFonts w:hint="eastAsia"/>
        </w:rPr>
        <w:t>的</w:t>
      </w:r>
      <w:r>
        <w:t>职业</w:t>
      </w:r>
      <w:r>
        <w:rPr>
          <w:rFonts w:hint="eastAsia"/>
        </w:rPr>
        <w:t>主要</w:t>
      </w:r>
      <w:r>
        <w:t>为</w:t>
      </w:r>
      <w:r>
        <w:rPr>
          <w:rFonts w:hint="eastAsia"/>
          <w:lang w:val="en-US"/>
        </w:rPr>
        <w:t>“其他人员”</w:t>
      </w:r>
      <w:r>
        <w:rPr>
          <w:lang w:val="en-US"/>
        </w:rPr>
        <w:t>，</w:t>
      </w:r>
      <w:r>
        <w:rPr>
          <w:rFonts w:hint="eastAsia"/>
        </w:rPr>
        <w:t>占比</w:t>
      </w:r>
      <w:r>
        <w:t>为</w:t>
      </w:r>
      <w:r>
        <w:rPr>
          <w:rFonts w:hint="eastAsia"/>
          <w:lang w:val="en-US"/>
        </w:rPr>
        <w:t>28.07%；</w:t>
      </w:r>
      <w:r>
        <w:rPr>
          <w:rFonts w:hint="eastAsia"/>
        </w:rPr>
        <w:t>其次为</w:t>
      </w:r>
      <w:r>
        <w:rPr>
          <w:rFonts w:hint="eastAsia"/>
          <w:lang w:val="en-US"/>
        </w:rPr>
        <w:t>“卫生专业技术人员”（20.73%）</w:t>
      </w:r>
      <w:r>
        <w:rPr>
          <w:rFonts w:hint="eastAsia"/>
        </w:rPr>
        <w:t>及</w:t>
      </w:r>
      <w:r>
        <w:rPr>
          <w:rFonts w:hint="eastAsia"/>
          <w:lang w:val="en-US"/>
        </w:rPr>
        <w:t>“教学人员</w:t>
      </w:r>
      <w:r>
        <w:rPr>
          <w:rFonts w:asciiTheme="minorEastAsia" w:hAnsiTheme="minorEastAsia" w:eastAsiaTheme="minorEastAsia"/>
          <w:lang w:val="en-US"/>
        </w:rPr>
        <w:t>”</w:t>
      </w:r>
      <w:r>
        <w:rPr>
          <w:rFonts w:hint="eastAsia"/>
          <w:lang w:val="en-US"/>
        </w:rPr>
        <w:t>（16.38%</w:t>
      </w:r>
      <w:r>
        <w:rPr>
          <w:lang w:val="en-US"/>
        </w:rPr>
        <w:t>）</w:t>
      </w:r>
      <w:r>
        <w:rPr>
          <w:rFonts w:hint="eastAsia"/>
        </w:rPr>
        <w:t>。</w:t>
      </w:r>
    </w:p>
    <w:p>
      <w:pPr>
        <w:pStyle w:val="180"/>
        <w:tabs>
          <w:tab w:val="left" w:pos="400"/>
          <w:tab w:val="center" w:pos="4394"/>
        </w:tabs>
      </w:pPr>
      <w:r>
        <w:rPr>
          <w:lang w:val="en-US"/>
        </w:rPr>
        <w:drawing>
          <wp:inline distT="0" distB="0" distL="0" distR="0">
            <wp:extent cx="5362575" cy="289941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218"/>
        <w:spacing w:before="156" w:after="156"/>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10</w:t>
      </w:r>
      <w:r>
        <w:fldChar w:fldCharType="end"/>
      </w:r>
      <w:r>
        <w:t xml:space="preserve"> </w:t>
      </w:r>
      <w:r>
        <w:rPr>
          <w:rFonts w:hint="eastAsia"/>
        </w:rPr>
        <w:t xml:space="preserve"> </w:t>
      </w:r>
      <w:r>
        <w:rPr>
          <w:rFonts w:hint="eastAsia" w:eastAsia="宋体"/>
        </w:rPr>
        <w:t>2021</w:t>
      </w:r>
      <w:r>
        <w:rPr>
          <w:rFonts w:hint="eastAsia"/>
        </w:rPr>
        <w:t>届毕业生就业量</w:t>
      </w:r>
      <w:r>
        <w:t>最大的前十个</w:t>
      </w:r>
      <w:r>
        <w:rPr>
          <w:rFonts w:hint="eastAsia"/>
        </w:rPr>
        <w:t>职业分布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12</w:t>
      </w:r>
      <w:r>
        <w:fldChar w:fldCharType="end"/>
      </w:r>
      <w:r>
        <w:t xml:space="preserve"> </w:t>
      </w:r>
      <w:r>
        <w:rPr>
          <w:rFonts w:hint="eastAsia"/>
        </w:rPr>
        <w:t xml:space="preserve"> </w:t>
      </w:r>
      <w:r>
        <w:rPr>
          <w:rFonts w:hint="eastAsia" w:eastAsia="宋体"/>
        </w:rPr>
        <w:t>2021</w:t>
      </w:r>
      <w:r>
        <w:rPr>
          <w:rFonts w:hint="eastAsia"/>
        </w:rPr>
        <w:t>届本科</w:t>
      </w:r>
      <w:r>
        <w:t>毕业生</w:t>
      </w:r>
      <w:r>
        <w:rPr>
          <w:rFonts w:hint="eastAsia"/>
        </w:rPr>
        <w:t>就业量</w:t>
      </w:r>
      <w:r>
        <w:t>占比排名前十的</w:t>
      </w:r>
      <w:r>
        <w:rPr>
          <w:rFonts w:hint="eastAsia"/>
        </w:rPr>
        <w:t>职业分布</w:t>
      </w:r>
    </w:p>
    <w:tbl>
      <w:tblPr>
        <w:tblStyle w:val="225"/>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6709"/>
        <w:gridCol w:w="229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就业职业</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其他人员</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28.21%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教学人员</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20.82%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卫生专业技术人员</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10.54%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工程技术人员</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10.37%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其他专业技术人员</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7.81%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办事人员和有关人员</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6.47%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商业和服务业人员</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5.21%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经济业务人员</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2.77%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生产和运输设备操作人员</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1.68%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文学艺术工作人员</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1.55%</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p>
      <w:pPr>
        <w:pStyle w:val="218"/>
        <w:spacing w:before="156" w:after="156"/>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13</w:t>
      </w:r>
      <w:r>
        <w:fldChar w:fldCharType="end"/>
      </w:r>
      <w:r>
        <w:t xml:space="preserve"> </w:t>
      </w:r>
      <w:r>
        <w:rPr>
          <w:rFonts w:hint="eastAsia"/>
        </w:rPr>
        <w:t xml:space="preserve"> </w:t>
      </w:r>
      <w:r>
        <w:rPr>
          <w:rFonts w:hint="eastAsia" w:eastAsia="宋体"/>
        </w:rPr>
        <w:t>2021</w:t>
      </w:r>
      <w:r>
        <w:rPr>
          <w:rFonts w:hint="eastAsia"/>
        </w:rPr>
        <w:t>届专科</w:t>
      </w:r>
      <w:r>
        <w:t>毕业生</w:t>
      </w:r>
      <w:r>
        <w:rPr>
          <w:rFonts w:hint="eastAsia"/>
        </w:rPr>
        <w:t>就业量</w:t>
      </w:r>
      <w:r>
        <w:t>占比排名前十的</w:t>
      </w:r>
      <w:r>
        <w:rPr>
          <w:rFonts w:hint="eastAsia"/>
        </w:rPr>
        <w:t>职业分布</w:t>
      </w:r>
    </w:p>
    <w:tbl>
      <w:tblPr>
        <w:tblStyle w:val="225"/>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6709"/>
        <w:gridCol w:w="229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就业职业</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占比</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卫生专业技术人员</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48.95%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其他人员</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27.67%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教学人员</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4.07%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其他专业技术人员</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3.37%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军人</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3.14%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商业和服务业人员</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3.02%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办事人员和有关人员</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2.91%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工程技术人员</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2.67%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生产和运输设备操作人员</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val="0"/>
                <w:sz w:val="21"/>
                <w:szCs w:val="21"/>
              </w:rPr>
              <w:t>经济业务人员</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0.81%</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数据来源：湖北省高校毕业生就业办公系统。</w:t>
      </w:r>
    </w:p>
    <w:bookmarkEnd w:id="106"/>
    <w:bookmarkEnd w:id="107"/>
    <w:p>
      <w:pPr>
        <w:pStyle w:val="151"/>
        <w:rPr>
          <w:color w:val="0F6FC6" w:themeColor="accent5"/>
          <w14:textFill>
            <w14:solidFill>
              <w14:schemeClr w14:val="accent5"/>
            </w14:solidFill>
          </w14:textFill>
        </w:rPr>
      </w:pPr>
      <w:bookmarkStart w:id="108" w:name="_Toc520907403"/>
      <w:bookmarkStart w:id="109" w:name="_Toc82010497"/>
      <w:bookmarkStart w:id="110" w:name="_Toc92706722"/>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就业单位</w:t>
      </w:r>
      <w:bookmarkEnd w:id="108"/>
      <w:bookmarkEnd w:id="109"/>
      <w:bookmarkEnd w:id="110"/>
    </w:p>
    <w:p>
      <w:pPr>
        <w:spacing w:line="360" w:lineRule="auto"/>
        <w:ind w:firstLine="480" w:firstLineChars="200"/>
        <w:jc w:val="both"/>
      </w:pPr>
      <w:r>
        <w:rPr>
          <w:rFonts w:hint="eastAsia"/>
        </w:rPr>
        <w:t>通过调研分析毕业生就业单位分布情况，能够清晰掌握毕业生的就业情况及职业选择，对于学校引导毕业生树立正确的择业观，提高个性化就业服务有重要作用。</w:t>
      </w:r>
    </w:p>
    <w:p>
      <w:pPr>
        <w:pStyle w:val="178"/>
        <w:spacing w:before="156"/>
        <w:ind w:firstLine="480"/>
      </w:pPr>
      <w:bookmarkStart w:id="111" w:name="_Toc521678819"/>
      <w:bookmarkStart w:id="112" w:name="_Toc521676309"/>
      <w:r>
        <w:rPr>
          <w:rFonts w:hint="eastAsia"/>
        </w:rPr>
        <w:t>学校</w:t>
      </w:r>
      <w:r>
        <w:rPr>
          <w:rFonts w:hint="eastAsia"/>
          <w:lang w:val="en-US"/>
        </w:rPr>
        <w:t>2021届</w:t>
      </w:r>
      <w:r>
        <w:rPr>
          <w:rFonts w:hint="eastAsia"/>
        </w:rPr>
        <w:t>本科毕业生单位流向以</w:t>
      </w:r>
      <w:r>
        <w:rPr>
          <w:rFonts w:hint="eastAsia"/>
          <w:lang w:val="en-US"/>
        </w:rPr>
        <w:t>“其他企业”</w:t>
      </w:r>
      <w:r>
        <w:rPr>
          <w:rFonts w:hint="eastAsia"/>
        </w:rPr>
        <w:t>为主</w:t>
      </w:r>
      <w:r>
        <w:rPr>
          <w:rFonts w:hint="eastAsia"/>
          <w:lang w:val="en-US"/>
        </w:rPr>
        <w:t>，</w:t>
      </w:r>
      <w:r>
        <w:rPr>
          <w:rFonts w:hint="eastAsia"/>
        </w:rPr>
        <w:t>占</w:t>
      </w:r>
      <w:r>
        <w:t>比</w:t>
      </w:r>
      <w:r>
        <w:rPr>
          <w:rFonts w:hint="eastAsia"/>
        </w:rPr>
        <w:t>为</w:t>
      </w:r>
      <w:r>
        <w:rPr>
          <w:rFonts w:hint="eastAsia"/>
          <w:lang w:val="en-US"/>
        </w:rPr>
        <w:t>70.13%；“中初教育单位”</w:t>
      </w:r>
      <w:r>
        <w:t>次之</w:t>
      </w:r>
      <w:r>
        <w:rPr>
          <w:rFonts w:hint="eastAsia"/>
          <w:lang w:val="en-US"/>
        </w:rPr>
        <w:t>，</w:t>
      </w:r>
      <w:r>
        <w:t>占比</w:t>
      </w:r>
      <w:r>
        <w:rPr>
          <w:rFonts w:hint="eastAsia"/>
        </w:rPr>
        <w:t>为</w:t>
      </w:r>
      <w:r>
        <w:rPr>
          <w:rFonts w:hint="eastAsia"/>
          <w:lang w:val="en-US"/>
        </w:rPr>
        <w:t>9.30%</w:t>
      </w:r>
      <w:r>
        <w:t>。</w:t>
      </w:r>
      <w:r>
        <w:rPr>
          <w:rFonts w:hint="eastAsia"/>
        </w:rPr>
        <w:t>专科毕业生单位流向以</w:t>
      </w:r>
      <w:r>
        <w:rPr>
          <w:rFonts w:hint="eastAsia"/>
          <w:lang w:val="en-US"/>
        </w:rPr>
        <w:t>“其他企业”</w:t>
      </w:r>
      <w:r>
        <w:rPr>
          <w:rFonts w:hint="eastAsia"/>
        </w:rPr>
        <w:t>为主</w:t>
      </w:r>
      <w:r>
        <w:rPr>
          <w:rFonts w:hint="eastAsia"/>
          <w:lang w:val="en-US"/>
        </w:rPr>
        <w:t>，</w:t>
      </w:r>
      <w:r>
        <w:rPr>
          <w:rFonts w:hint="eastAsia"/>
        </w:rPr>
        <w:t>占</w:t>
      </w:r>
      <w:r>
        <w:t>比</w:t>
      </w:r>
      <w:r>
        <w:rPr>
          <w:rFonts w:hint="eastAsia"/>
        </w:rPr>
        <w:t>为</w:t>
      </w:r>
      <w:r>
        <w:rPr>
          <w:rFonts w:hint="eastAsia"/>
          <w:lang w:val="en-US"/>
        </w:rPr>
        <w:t>62.77%；“医疗卫生单位”</w:t>
      </w:r>
      <w:r>
        <w:t>次之</w:t>
      </w:r>
      <w:r>
        <w:rPr>
          <w:rFonts w:hint="eastAsia"/>
          <w:lang w:val="en-US"/>
        </w:rPr>
        <w:t>，</w:t>
      </w:r>
      <w:r>
        <w:t>占比</w:t>
      </w:r>
      <w:r>
        <w:rPr>
          <w:rFonts w:hint="eastAsia"/>
        </w:rPr>
        <w:t>为</w:t>
      </w:r>
      <w:r>
        <w:rPr>
          <w:rFonts w:hint="eastAsia"/>
          <w:lang w:val="en-US"/>
        </w:rPr>
        <w:t>24.74%</w:t>
      </w:r>
      <w:r>
        <w:t>。</w:t>
      </w:r>
    </w:p>
    <w:p>
      <w:pPr>
        <w:pStyle w:val="218"/>
        <w:spacing w:before="156" w:after="156"/>
        <w:rPr>
          <w:bCs/>
        </w:rPr>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14</w:t>
      </w:r>
      <w:r>
        <w:fldChar w:fldCharType="end"/>
      </w:r>
      <w:r>
        <w:rPr>
          <w:bCs/>
        </w:rPr>
        <w:t xml:space="preserve"> </w:t>
      </w:r>
      <w:r>
        <w:rPr>
          <w:rFonts w:hint="eastAsia"/>
          <w:bCs/>
        </w:rPr>
        <w:t xml:space="preserve"> </w:t>
      </w:r>
      <w:r>
        <w:rPr>
          <w:rFonts w:hint="eastAsia" w:eastAsia="宋体"/>
          <w:bCs/>
        </w:rPr>
        <w:t>2021</w:t>
      </w:r>
      <w:r>
        <w:rPr>
          <w:rFonts w:hint="eastAsia"/>
          <w:bCs/>
        </w:rPr>
        <w:t>届毕业生就业单位</w:t>
      </w:r>
      <w:r>
        <w:rPr>
          <w:bCs/>
        </w:rPr>
        <w:t>性质</w:t>
      </w:r>
      <w:r>
        <w:rPr>
          <w:rFonts w:hint="eastAsia"/>
          <w:bCs/>
        </w:rPr>
        <w:t>分布</w:t>
      </w:r>
      <w:bookmarkEnd w:id="111"/>
      <w:bookmarkEnd w:id="112"/>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728"/>
        <w:gridCol w:w="2342"/>
        <w:gridCol w:w="2342"/>
        <w:gridCol w:w="159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就业单位性质</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本科毕业生</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专科毕业生</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其他企业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70.13%</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62.77%</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68.18%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医疗卫生单位</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6.97%</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24.74%</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11.68%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中初教育单位</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9.30%</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1.50%</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7.23%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国有企业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5.55%</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1.16%</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4.38%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其他事业单位</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2.59%</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2.77%</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部队</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1.13%</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2.89%</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1.59%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自由职业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0.88%</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1.97%</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1.16%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机关</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1.13%</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0.58%</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0.98%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三资企业</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0.63%</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0.23%</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自主创业</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0.58%</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0.35%</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国家基层项目</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0.50%</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0.35%</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城镇社区</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0.21%</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0.69%</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高等教育单位</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0.21%</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地方基层项目</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0.13%</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农村建制村</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0.04%</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0" w:type="auto"/>
            <w:shd w:val="clear" w:color="auto" w:fill="C7E2FA"/>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0.03%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color w:val="000000"/>
                <w:sz w:val="21"/>
                <w:szCs w:val="21"/>
              </w:rPr>
            </w:pPr>
            <w:r>
              <w:rPr>
                <w:rFonts w:ascii="Times New Roman" w:hAnsi="Times New Roman" w:cs="Times New Roman"/>
                <w:b w:val="0"/>
                <w:bCs/>
                <w:color w:val="000000"/>
                <w:sz w:val="21"/>
                <w:szCs w:val="21"/>
              </w:rPr>
              <w:t>科研设计单位</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0.04%</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0" w:type="auto"/>
            <w:vAlign w:val="center"/>
          </w:tcPr>
          <w:p>
            <w:pPr>
              <w:spacing w:before="0"/>
              <w:jc w:val="center"/>
              <w:rPr>
                <w:rFonts w:ascii="Times New Roman" w:hAnsi="Times New Roman" w:cs="Times New Roman"/>
                <w:color w:val="000000"/>
                <w:sz w:val="21"/>
                <w:szCs w:val="21"/>
              </w:rPr>
            </w:pPr>
            <w:r>
              <w:rPr>
                <w:rFonts w:ascii="Times New Roman" w:hAnsi="Times New Roman" w:cs="Times New Roman"/>
                <w:sz w:val="21"/>
                <w:szCs w:val="21"/>
              </w:rPr>
              <w:t>0.03%</w:t>
            </w:r>
          </w:p>
        </w:tc>
      </w:tr>
    </w:tbl>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注：其他企业指除国有企业和三资企业之外的所有企业。</w:t>
      </w:r>
    </w:p>
    <w:p>
      <w:pPr>
        <w:pStyle w:val="118"/>
        <w:ind w:firstLine="360"/>
        <w:rPr>
          <w:color w:val="0070C0"/>
        </w:rPr>
      </w:pPr>
      <w:r>
        <w:rPr>
          <w:rFonts w:hint="eastAsia"/>
          <w:color w:val="0070C0"/>
        </w:rPr>
        <w:t>数据来源：湖北省高校毕业生就业办公系统。</w:t>
      </w:r>
    </w:p>
    <w:bookmarkEnd w:id="60"/>
    <w:p>
      <w:pPr>
        <w:pStyle w:val="141"/>
        <w:rPr>
          <w:color w:val="0F6FC6" w:themeColor="accent5"/>
          <w14:textFill>
            <w14:solidFill>
              <w14:schemeClr w14:val="accent5"/>
            </w14:solidFill>
          </w14:textFill>
        </w:rPr>
      </w:pPr>
      <w:bookmarkStart w:id="113" w:name="_Toc92706723"/>
      <w:bookmarkStart w:id="114" w:name="_Toc520907408"/>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升学深造</w:t>
      </w:r>
      <w:bookmarkEnd w:id="113"/>
      <w:bookmarkEnd w:id="114"/>
    </w:p>
    <w:p>
      <w:pPr>
        <w:spacing w:line="360" w:lineRule="auto"/>
        <w:ind w:firstLine="480" w:firstLineChars="200"/>
        <w:jc w:val="both"/>
      </w:pPr>
      <w:bookmarkStart w:id="115" w:name="_Toc520907409"/>
      <w:r>
        <w:rPr>
          <w:rFonts w:hint="eastAsia"/>
        </w:rPr>
        <w:t>毕业生深造及创业情况是人才培养质量的重要反映，也是促进毕业生更高质量更充分就业的重要抓手；另外，创新创业是推动国家经济和社会发展的不竭动力，国家鼓励各大高校将创新创业教育融入到人才培养的全过程，鼓励学生创新创业，全力做好毕业生创业指导和支持工作。进一步对毕业生深造和自主创业情况进行调查，可以为学校优化创新创业教育与指导服务工作提供一手数据和参考资料。</w:t>
      </w:r>
    </w:p>
    <w:p>
      <w:pPr>
        <w:pStyle w:val="151"/>
        <w:rPr>
          <w:color w:val="0F6FC6" w:themeColor="accent5"/>
          <w14:textFill>
            <w14:solidFill>
              <w14:schemeClr w14:val="accent5"/>
            </w14:solidFill>
          </w14:textFill>
        </w:rPr>
      </w:pPr>
      <w:bookmarkStart w:id="116" w:name="_Toc92706724"/>
      <w:r>
        <w:rPr>
          <w:rFonts w:hint="eastAsia"/>
          <w:color w:val="0F6FC6" w:themeColor="accent5"/>
          <w14:textFill>
            <w14:solidFill>
              <w14:schemeClr w14:val="accent5"/>
            </w14:solidFill>
          </w14:textFill>
        </w:rPr>
        <w:t>（一</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国内升学</w:t>
      </w:r>
      <w:bookmarkEnd w:id="115"/>
      <w:bookmarkEnd w:id="116"/>
    </w:p>
    <w:p>
      <w:pPr>
        <w:spacing w:line="360" w:lineRule="auto"/>
        <w:ind w:firstLine="480" w:firstLineChars="200"/>
        <w:jc w:val="both"/>
      </w:pPr>
      <w:r>
        <w:rPr>
          <w:rFonts w:hint="eastAsia"/>
        </w:rPr>
        <w:t>毕业生升学率是衡量学校人才培养质量的重要指标，是衡量同级同类学校教育质量的重要标准。通过调研分析毕业生国内升学的情况可以了解高校的教育教学质量和人才培养水平。</w:t>
      </w:r>
    </w:p>
    <w:p>
      <w:pPr>
        <w:pStyle w:val="112"/>
        <w:ind w:firstLine="482"/>
      </w:pPr>
      <w:r>
        <w:rPr>
          <w:rFonts w:hint="eastAsia"/>
          <w:b/>
          <w:bCs/>
          <w:color w:val="0F6FC6" w:themeColor="accent5"/>
          <w14:textFill>
            <w14:solidFill>
              <w14:schemeClr w14:val="accent5"/>
            </w14:solidFill>
          </w14:textFill>
        </w:rPr>
        <w:t>升学原因</w:t>
      </w:r>
      <w:r>
        <w:rPr>
          <w:rFonts w:hint="eastAsia"/>
          <w:b/>
          <w:bCs/>
          <w:color w:val="0F6FC6" w:themeColor="accent5"/>
          <w:lang w:val="en-US"/>
          <w14:textFill>
            <w14:solidFill>
              <w14:schemeClr w14:val="accent5"/>
            </w14:solidFill>
          </w14:textFill>
        </w:rPr>
        <w:t>：</w:t>
      </w:r>
      <w:r>
        <w:rPr>
          <w:rFonts w:hint="eastAsia"/>
          <w:lang w:val="en-US"/>
        </w:rPr>
        <w:t>2021</w:t>
      </w:r>
      <w:r>
        <w:rPr>
          <w:rFonts w:hint="eastAsia"/>
        </w:rPr>
        <w:t>届</w:t>
      </w:r>
      <w:r>
        <w:t>毕业生</w:t>
      </w:r>
      <w:r>
        <w:rPr>
          <w:rFonts w:hint="eastAsia"/>
        </w:rPr>
        <w:t>选择</w:t>
      </w:r>
      <w:r>
        <w:t>升学</w:t>
      </w:r>
      <w:r>
        <w:rPr>
          <w:rFonts w:hint="eastAsia"/>
        </w:rPr>
        <w:t>的</w:t>
      </w:r>
      <w:r>
        <w:t>原因主要为</w:t>
      </w:r>
      <w:r>
        <w:rPr>
          <w:rFonts w:ascii="宋体" w:hAnsi="宋体"/>
          <w:lang w:val="en-US"/>
        </w:rPr>
        <w:t>“</w:t>
      </w:r>
      <w:r>
        <w:rPr>
          <w:rFonts w:hint="eastAsia" w:ascii="宋体" w:hAnsi="宋体"/>
          <w:lang w:val="en-US"/>
        </w:rPr>
        <w:t>增加择业资本，站在更高求职点</w:t>
      </w:r>
      <w:r>
        <w:rPr>
          <w:rFonts w:ascii="宋体" w:hAnsi="宋体"/>
          <w:lang w:val="en-US"/>
        </w:rPr>
        <w:t>”</w:t>
      </w:r>
      <w:r>
        <w:rPr>
          <w:lang w:val="en-US"/>
        </w:rPr>
        <w:t>（</w:t>
      </w:r>
      <w:r>
        <w:rPr>
          <w:rFonts w:hint="eastAsia"/>
          <w:lang w:val="en-US"/>
        </w:rPr>
        <w:t>50.82%</w:t>
      </w:r>
      <w:r>
        <w:rPr>
          <w:lang w:val="en-US"/>
        </w:rPr>
        <w:t>）</w:t>
      </w:r>
      <w:r>
        <w:rPr>
          <w:rFonts w:hint="eastAsia"/>
          <w:lang w:val="en-US"/>
        </w:rPr>
        <w:t>，</w:t>
      </w:r>
      <w:r>
        <w:rPr>
          <w:rFonts w:hint="eastAsia"/>
        </w:rPr>
        <w:t>其次是</w:t>
      </w:r>
      <w:r>
        <w:rPr>
          <w:rFonts w:ascii="宋体" w:hAnsi="宋体"/>
          <w:lang w:val="en-US"/>
        </w:rPr>
        <w:t>“</w:t>
      </w:r>
      <w:r>
        <w:rPr>
          <w:rFonts w:hint="eastAsia" w:ascii="宋体" w:hAnsi="宋体"/>
          <w:lang w:val="en-US"/>
        </w:rPr>
        <w:t>提高综合素质/能力</w:t>
      </w:r>
      <w:r>
        <w:rPr>
          <w:rFonts w:ascii="宋体" w:hAnsi="宋体"/>
          <w:lang w:val="en-US"/>
        </w:rPr>
        <w:t>”</w:t>
      </w:r>
      <w:r>
        <w:rPr>
          <w:lang w:val="en-US"/>
        </w:rPr>
        <w:t>（</w:t>
      </w:r>
      <w:r>
        <w:rPr>
          <w:rFonts w:hint="eastAsia"/>
          <w:lang w:val="en-US"/>
        </w:rPr>
        <w:t>24.32%</w:t>
      </w:r>
      <w:r>
        <w:rPr>
          <w:lang w:val="en-US"/>
        </w:rPr>
        <w:t>）</w:t>
      </w:r>
      <w:r>
        <w:t>。</w:t>
      </w:r>
    </w:p>
    <w:p>
      <w:pPr>
        <w:spacing w:line="360" w:lineRule="auto"/>
        <w:ind w:firstLine="480" w:firstLineChars="200"/>
        <w:rPr>
          <w:b/>
          <w:bCs/>
          <w:color w:val="000000"/>
          <w:szCs w:val="21"/>
        </w:rPr>
      </w:pPr>
      <w:r>
        <w:rPr>
          <w:color w:val="000000"/>
          <w:szCs w:val="21"/>
        </w:rPr>
        <w:drawing>
          <wp:inline distT="0" distB="0" distL="0" distR="0">
            <wp:extent cx="5143500" cy="2514600"/>
            <wp:effectExtent l="0" t="0" r="0" b="0"/>
            <wp:docPr id="53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218"/>
        <w:spacing w:before="156" w:after="156"/>
        <w:rPr>
          <w:color w:val="0F6FC6" w:themeColor="accent5"/>
          <w14:textFill>
            <w14:solidFill>
              <w14:schemeClr w14:val="accent5"/>
            </w14:solidFill>
          </w14:textFill>
        </w:rPr>
      </w:pPr>
      <w:bookmarkStart w:id="117" w:name="_Toc509389381"/>
      <w:bookmarkStart w:id="118" w:name="_Toc509483502"/>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11</w:t>
      </w:r>
      <w:r>
        <w:fldChar w:fldCharType="end"/>
      </w:r>
      <w:r>
        <w:rPr>
          <w:color w:val="0F6FC6" w:themeColor="accent5"/>
          <w14:textFill>
            <w14:solidFill>
              <w14:schemeClr w14:val="accent5"/>
            </w14:solidFill>
          </w14:textFill>
        </w:rPr>
        <w:t xml:space="preserve"> </w:t>
      </w:r>
      <w:r>
        <w:rPr>
          <w:rFonts w:hint="eastAsia"/>
          <w:color w:val="0F6FC6" w:themeColor="accent5"/>
          <w14:textFill>
            <w14:solidFill>
              <w14:schemeClr w14:val="accent5"/>
            </w14:solidFill>
          </w14:textFill>
        </w:rPr>
        <w:t xml:space="preserve"> 2021</w:t>
      </w:r>
      <w:r>
        <w:rPr>
          <w:rFonts w:hint="eastAsia"/>
          <w:bCs/>
        </w:rPr>
        <w:t>届毕</w:t>
      </w:r>
      <w:r>
        <w:rPr>
          <w:rFonts w:hint="eastAsia"/>
          <w:color w:val="0F6FC6" w:themeColor="accent5"/>
          <w14:textFill>
            <w14:solidFill>
              <w14:schemeClr w14:val="accent5"/>
            </w14:solidFill>
          </w14:textFill>
        </w:rPr>
        <w:t>业生选择升学的主要原因</w:t>
      </w:r>
    </w:p>
    <w:bookmarkEnd w:id="117"/>
    <w:bookmarkEnd w:id="118"/>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12"/>
        <w:ind w:firstLine="482"/>
      </w:pPr>
      <w:r>
        <w:rPr>
          <w:rFonts w:hint="eastAsia"/>
          <w:b/>
          <w:bCs/>
          <w:color w:val="0F6FC6" w:themeColor="accent5"/>
          <w14:textFill>
            <w14:solidFill>
              <w14:schemeClr w14:val="accent5"/>
            </w14:solidFill>
          </w14:textFill>
        </w:rPr>
        <w:t>升学专业相关性：</w:t>
      </w:r>
      <w:r>
        <w:t>升学</w:t>
      </w:r>
      <w:r>
        <w:rPr>
          <w:rFonts w:hint="eastAsia"/>
        </w:rPr>
        <w:t>专业相关度为93.42%，可见大部分学生还是在本专业或相关专业继续深造。</w:t>
      </w:r>
    </w:p>
    <w:p>
      <w:pPr>
        <w:spacing w:before="156" w:beforeLines="50" w:after="163" w:line="360" w:lineRule="auto"/>
        <w:jc w:val="center"/>
        <w:rPr>
          <w:szCs w:val="21"/>
        </w:rPr>
      </w:pPr>
      <w:r>
        <w:drawing>
          <wp:inline distT="0" distB="0" distL="0" distR="0">
            <wp:extent cx="3768090" cy="2057400"/>
            <wp:effectExtent l="0" t="0" r="16510" b="1270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218"/>
        <w:spacing w:before="156" w:after="156"/>
        <w:rPr>
          <w:color w:val="0F6FC6" w:themeColor="accent5"/>
          <w14:textFill>
            <w14:solidFill>
              <w14:schemeClr w14:val="accent5"/>
            </w14:solidFill>
          </w14:textFill>
        </w:rPr>
      </w:pPr>
      <w:bookmarkStart w:id="119" w:name="_Toc509483501"/>
      <w:bookmarkStart w:id="120" w:name="_Toc509389380"/>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12</w:t>
      </w:r>
      <w:r>
        <w:fldChar w:fldCharType="end"/>
      </w:r>
      <w:r>
        <w:rPr>
          <w:color w:val="0F6FC6" w:themeColor="accent5"/>
          <w14:textFill>
            <w14:solidFill>
              <w14:schemeClr w14:val="accent5"/>
            </w14:solidFill>
          </w14:textFill>
        </w:rPr>
        <w:t xml:space="preserve"> </w:t>
      </w:r>
      <w:r>
        <w:rPr>
          <w:rFonts w:hint="eastAsia"/>
          <w:color w:val="0F6FC6" w:themeColor="accent5"/>
          <w14:textFill>
            <w14:solidFill>
              <w14:schemeClr w14:val="accent5"/>
            </w14:solidFill>
          </w14:textFill>
        </w:rPr>
        <w:t xml:space="preserve"> 2021届毕业生升学专业</w:t>
      </w:r>
      <w:r>
        <w:rPr>
          <w:color w:val="0F6FC6" w:themeColor="accent5"/>
          <w14:textFill>
            <w14:solidFill>
              <w14:schemeClr w14:val="accent5"/>
            </w14:solidFill>
          </w14:textFill>
        </w:rPr>
        <w:t>与原专业</w:t>
      </w:r>
      <w:r>
        <w:rPr>
          <w:rFonts w:hint="eastAsia"/>
          <w:color w:val="0F6FC6" w:themeColor="accent5"/>
          <w14:textFill>
            <w14:solidFill>
              <w14:schemeClr w14:val="accent5"/>
            </w14:solidFill>
          </w14:textFill>
        </w:rPr>
        <w:t>相关</w:t>
      </w:r>
      <w:r>
        <w:rPr>
          <w:color w:val="0F6FC6" w:themeColor="accent5"/>
          <w14:textFill>
            <w14:solidFill>
              <w14:schemeClr w14:val="accent5"/>
            </w14:solidFill>
          </w14:textFill>
        </w:rPr>
        <w:t>性分布</w:t>
      </w:r>
      <w:bookmarkEnd w:id="119"/>
      <w:bookmarkEnd w:id="120"/>
      <w:r>
        <w:rPr>
          <w:rFonts w:hint="eastAsia"/>
          <w:color w:val="0F6FC6" w:themeColor="accent5"/>
          <w14:textFill>
            <w14:solidFill>
              <w14:schemeClr w14:val="accent5"/>
            </w14:solidFill>
          </w14:textFill>
        </w:rPr>
        <w:t xml:space="preserve"> </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12"/>
        <w:ind w:firstLine="482"/>
      </w:pPr>
      <w:r>
        <w:rPr>
          <w:rFonts w:hint="eastAsia"/>
          <w:b/>
          <w:bCs/>
          <w:color w:val="0F6FC6" w:themeColor="accent5"/>
          <w14:textFill>
            <w14:solidFill>
              <w14:schemeClr w14:val="accent5"/>
            </w14:solidFill>
          </w14:textFill>
        </w:rPr>
        <w:t>跨专业升学原因：</w:t>
      </w:r>
      <w:r>
        <w:rPr>
          <w:rFonts w:hint="eastAsia"/>
          <w:lang w:val="en-US"/>
        </w:rPr>
        <w:t>2021</w:t>
      </w:r>
      <w:r>
        <w:rPr>
          <w:rFonts w:hint="eastAsia"/>
        </w:rPr>
        <w:t>届</w:t>
      </w:r>
      <w:r>
        <w:t>毕业生跨专业升学原因主要为</w:t>
      </w:r>
      <w:r>
        <w:rPr>
          <w:rFonts w:ascii="宋体" w:hAnsi="宋体"/>
          <w:lang w:val="en-US"/>
        </w:rPr>
        <w:t>“</w:t>
      </w:r>
      <w:r>
        <w:rPr>
          <w:rFonts w:hint="eastAsia" w:ascii="宋体" w:hAnsi="宋体"/>
          <w:lang w:val="en-US"/>
        </w:rPr>
        <w:t>出于个人兴趣</w:t>
      </w:r>
      <w:r>
        <w:rPr>
          <w:rFonts w:ascii="宋体" w:hAnsi="宋体"/>
          <w:lang w:val="en-US"/>
        </w:rPr>
        <w:t>”</w:t>
      </w:r>
      <w:r>
        <w:rPr>
          <w:lang w:val="en-US"/>
        </w:rPr>
        <w:t>（</w:t>
      </w:r>
      <w:r>
        <w:rPr>
          <w:rFonts w:hint="eastAsia"/>
          <w:lang w:val="en-US"/>
        </w:rPr>
        <w:t>50.00%</w:t>
      </w:r>
      <w:r>
        <w:rPr>
          <w:lang w:val="en-US"/>
        </w:rPr>
        <w:t>）</w:t>
      </w:r>
      <w:r>
        <w:rPr>
          <w:rFonts w:hint="eastAsia"/>
          <w:lang w:val="en-US"/>
        </w:rPr>
        <w:t>，</w:t>
      </w:r>
      <w:r>
        <w:rPr>
          <w:rFonts w:hint="eastAsia"/>
        </w:rPr>
        <w:t>其次是</w:t>
      </w:r>
      <w:r>
        <w:rPr>
          <w:rFonts w:ascii="宋体" w:hAnsi="宋体"/>
          <w:lang w:val="en-US"/>
        </w:rPr>
        <w:t>“</w:t>
      </w:r>
      <w:r>
        <w:rPr>
          <w:rFonts w:hint="eastAsia" w:ascii="宋体" w:hAnsi="宋体"/>
          <w:lang w:val="en-US"/>
        </w:rPr>
        <w:t>志愿外被调剂</w:t>
      </w:r>
      <w:r>
        <w:rPr>
          <w:rFonts w:ascii="宋体" w:hAnsi="宋体"/>
          <w:lang w:val="en-US"/>
        </w:rPr>
        <w:t>”</w:t>
      </w:r>
      <w:r>
        <w:rPr>
          <w:lang w:val="en-US"/>
        </w:rPr>
        <w:t>（</w:t>
      </w:r>
      <w:r>
        <w:rPr>
          <w:rFonts w:hint="eastAsia"/>
          <w:lang w:val="en-US"/>
        </w:rPr>
        <w:t>16.67%</w:t>
      </w:r>
      <w:r>
        <w:rPr>
          <w:lang w:val="en-US"/>
        </w:rPr>
        <w:t>）</w:t>
      </w:r>
      <w:r>
        <w:t>。</w:t>
      </w:r>
    </w:p>
    <w:p>
      <w:pPr>
        <w:spacing w:line="360" w:lineRule="auto"/>
        <w:ind w:firstLine="480" w:firstLineChars="200"/>
        <w:rPr>
          <w:b/>
          <w:bCs/>
          <w:color w:val="000000"/>
          <w:szCs w:val="21"/>
        </w:rPr>
      </w:pPr>
      <w:r>
        <w:rPr>
          <w:color w:val="000000"/>
          <w:szCs w:val="21"/>
        </w:rPr>
        <w:drawing>
          <wp:inline distT="0" distB="0" distL="0" distR="0">
            <wp:extent cx="5018405" cy="1944370"/>
            <wp:effectExtent l="0" t="0" r="0" b="0"/>
            <wp:docPr id="53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218"/>
        <w:spacing w:before="156" w:after="156"/>
        <w:rPr>
          <w:color w:val="0F6FC6" w:themeColor="accent5"/>
          <w14:textFill>
            <w14:solidFill>
              <w14:schemeClr w14:val="accent5"/>
            </w14:solidFill>
          </w14:textFill>
        </w:rPr>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13</w:t>
      </w:r>
      <w:r>
        <w:fldChar w:fldCharType="end"/>
      </w:r>
      <w:r>
        <w:rPr>
          <w:rStyle w:val="37"/>
          <w:b w:val="0"/>
        </w:rPr>
        <w:t xml:space="preserve"> </w:t>
      </w:r>
      <w:r>
        <w:rPr>
          <w:color w:val="0F6FC6" w:themeColor="accent5"/>
          <w14:textFill>
            <w14:solidFill>
              <w14:schemeClr w14:val="accent5"/>
            </w14:solidFill>
          </w14:textFill>
        </w:rPr>
        <w:t xml:space="preserve"> </w:t>
      </w:r>
      <w:r>
        <w:rPr>
          <w:rFonts w:hint="eastAsia"/>
          <w:color w:val="0F6FC6" w:themeColor="accent5"/>
          <w14:textFill>
            <w14:solidFill>
              <w14:schemeClr w14:val="accent5"/>
            </w14:solidFill>
          </w14:textFill>
        </w:rPr>
        <w:t xml:space="preserve"> 2021届毕业生跨专业升学原因分布</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41"/>
        <w:rPr>
          <w:color w:val="0F6FC6" w:themeColor="accent5"/>
          <w14:textFill>
            <w14:solidFill>
              <w14:schemeClr w14:val="accent5"/>
            </w14:solidFill>
          </w14:textFill>
        </w:rPr>
      </w:pPr>
      <w:bookmarkStart w:id="121" w:name="_Toc92706725"/>
      <w:bookmarkStart w:id="122" w:name="_Toc520907398"/>
      <w:bookmarkStart w:id="123" w:name="_Toc22202119"/>
      <w:bookmarkStart w:id="124" w:name="_Toc18325368"/>
      <w:bookmarkStart w:id="125" w:name="_Toc520907412"/>
      <w:bookmarkStart w:id="126" w:name="_Toc47451716"/>
      <w:r>
        <w:rPr>
          <w:rFonts w:hint="eastAsia"/>
          <w:color w:val="0F6FC6" w:themeColor="accent5"/>
          <w14:textFill>
            <w14:solidFill>
              <w14:schemeClr w14:val="accent5"/>
            </w14:solidFill>
          </w14:textFill>
        </w:rPr>
        <w:t>五、求职过程分析</w:t>
      </w:r>
      <w:bookmarkEnd w:id="121"/>
    </w:p>
    <w:p>
      <w:pPr>
        <w:spacing w:line="360" w:lineRule="auto"/>
        <w:ind w:firstLine="480" w:firstLineChars="200"/>
        <w:jc w:val="both"/>
      </w:pPr>
      <w:bookmarkStart w:id="127" w:name="_Toc17470236"/>
      <w:r>
        <w:rPr>
          <w:rFonts w:hint="eastAsia"/>
        </w:rPr>
        <w:t>择业求职是大学生走向社会的开始，是独立走向生活的第一步。这不仅仅是谋取一份工作的过程，也是适应社会、进行自我社会化、进一步健全人格和提高心理素质的过程，不断克服内部障碍，提高自身素质，不断适应外部环境，满足社会需求，才能最终实现职业目标。</w:t>
      </w:r>
    </w:p>
    <w:p>
      <w:pPr>
        <w:pStyle w:val="151"/>
        <w:rPr>
          <w:color w:val="0F6FC6" w:themeColor="accent5"/>
          <w14:textFill>
            <w14:solidFill>
              <w14:schemeClr w14:val="accent5"/>
            </w14:solidFill>
          </w14:textFill>
        </w:rPr>
      </w:pPr>
      <w:bookmarkStart w:id="128" w:name="_Toc92706726"/>
      <w:bookmarkStart w:id="129" w:name="_Toc80114310"/>
      <w:r>
        <w:rPr>
          <w:rFonts w:hint="eastAsia"/>
          <w:color w:val="0F6FC6" w:themeColor="accent5"/>
          <w14:textFill>
            <w14:solidFill>
              <w14:schemeClr w14:val="accent5"/>
            </w14:solidFill>
          </w14:textFill>
        </w:rPr>
        <w:t>（一）获取招聘信息来源</w:t>
      </w:r>
      <w:bookmarkEnd w:id="128"/>
      <w:bookmarkEnd w:id="129"/>
    </w:p>
    <w:p>
      <w:pPr>
        <w:pStyle w:val="135"/>
        <w:spacing w:before="120"/>
        <w:ind w:firstLine="480"/>
      </w:pPr>
      <w:r>
        <w:rPr>
          <w:rFonts w:hint="eastAsia" w:ascii="宋体" w:hAnsi="宋体"/>
        </w:rPr>
        <w:t>求职过程中的一个重要步骤就是从各种渠道寻找有效信息并加以整合分析，尽可能获得一切求职机会。</w:t>
      </w:r>
      <w:r>
        <w:rPr>
          <w:rFonts w:hint="eastAsia"/>
        </w:rPr>
        <w:t>2021届本科</w:t>
      </w:r>
      <w:r>
        <w:t>毕业生</w:t>
      </w:r>
      <w:r>
        <w:rPr>
          <w:rFonts w:hint="eastAsia"/>
        </w:rPr>
        <w:t>获取招聘信息的来源主要为“校外各类招聘网站信息”，</w:t>
      </w:r>
      <w:r>
        <w:t>占比为</w:t>
      </w:r>
      <w:r>
        <w:rPr>
          <w:rFonts w:hint="eastAsia"/>
        </w:rPr>
        <w:t>28.86%，</w:t>
      </w:r>
      <w:r>
        <w:t>专科毕业生</w:t>
      </w:r>
      <w:r>
        <w:rPr>
          <w:rFonts w:hint="eastAsia"/>
        </w:rPr>
        <w:t>获取招聘信息的来源主要为“家庭或其他社会关系”，</w:t>
      </w:r>
      <w:r>
        <w:t>占比为</w:t>
      </w:r>
      <w:r>
        <w:rPr>
          <w:rFonts w:hint="eastAsia"/>
        </w:rPr>
        <w:t>19.80%。</w:t>
      </w:r>
    </w:p>
    <w:p>
      <w:pPr>
        <w:pStyle w:val="135"/>
        <w:spacing w:before="120"/>
        <w:ind w:firstLine="480"/>
      </w:pPr>
      <w:r>
        <w:drawing>
          <wp:inline distT="0" distB="0" distL="0" distR="0">
            <wp:extent cx="5314950" cy="4947920"/>
            <wp:effectExtent l="0" t="0" r="0" b="508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35"/>
        <w:spacing w:before="120"/>
        <w:ind w:left="400" w:firstLine="422"/>
        <w:jc w:val="center"/>
        <w:rPr>
          <w:color w:val="4BACC6"/>
        </w:rPr>
      </w:pPr>
      <w:r>
        <w:rPr>
          <w:rFonts w:eastAsia="黑体" w:cs="Times New Roman"/>
          <w:b/>
          <w:color w:val="0070C0"/>
          <w:sz w:val="21"/>
          <w:szCs w:val="21"/>
        </w:rPr>
        <w:t xml:space="preserve">图2- </w:t>
      </w:r>
      <w:r>
        <w:rPr>
          <w:rFonts w:eastAsia="黑体" w:cs="Times New Roman"/>
          <w:b/>
          <w:color w:val="0070C0"/>
          <w:sz w:val="21"/>
          <w:szCs w:val="21"/>
        </w:rPr>
        <w:fldChar w:fldCharType="begin"/>
      </w:r>
      <w:r>
        <w:rPr>
          <w:rFonts w:eastAsia="黑体" w:cs="Times New Roman"/>
          <w:b/>
          <w:color w:val="0070C0"/>
          <w:sz w:val="21"/>
          <w:szCs w:val="21"/>
        </w:rPr>
        <w:instrText xml:space="preserve"> SEQ 图2- \* ARABIC </w:instrText>
      </w:r>
      <w:r>
        <w:rPr>
          <w:rFonts w:eastAsia="黑体" w:cs="Times New Roman"/>
          <w:b/>
          <w:color w:val="0070C0"/>
          <w:sz w:val="21"/>
          <w:szCs w:val="21"/>
        </w:rPr>
        <w:fldChar w:fldCharType="separate"/>
      </w:r>
      <w:r>
        <w:rPr>
          <w:rFonts w:eastAsia="黑体" w:cs="Times New Roman"/>
          <w:b/>
          <w:color w:val="0070C0"/>
          <w:sz w:val="21"/>
          <w:szCs w:val="21"/>
        </w:rPr>
        <w:t>14</w:t>
      </w:r>
      <w:r>
        <w:rPr>
          <w:rFonts w:eastAsia="黑体" w:cs="Times New Roman"/>
          <w:b/>
          <w:color w:val="0070C0"/>
          <w:sz w:val="21"/>
          <w:szCs w:val="21"/>
        </w:rPr>
        <w:fldChar w:fldCharType="end"/>
      </w:r>
      <w:r>
        <w:rPr>
          <w:rStyle w:val="37"/>
          <w:rFonts w:eastAsia="黑体" w:cs="Times New Roman"/>
          <w:b w:val="0"/>
          <w:color w:val="0070C0"/>
          <w:sz w:val="21"/>
          <w:szCs w:val="21"/>
        </w:rPr>
        <w:t xml:space="preserve"> </w:t>
      </w:r>
      <w:r>
        <w:rPr>
          <w:rFonts w:eastAsia="黑体" w:cs="Times New Roman"/>
          <w:b/>
          <w:caps/>
          <w:color w:val="0F6FC6" w:themeColor="accent5"/>
          <w:sz w:val="21"/>
          <w:szCs w:val="36"/>
          <w:lang w:val="zh-CN"/>
          <w14:textFill>
            <w14:solidFill>
              <w14:schemeClr w14:val="accent5"/>
            </w14:solidFill>
          </w14:textFill>
        </w:rPr>
        <w:t xml:space="preserve"> 2021届</w:t>
      </w:r>
      <w:r>
        <w:rPr>
          <w:rFonts w:hint="eastAsia" w:eastAsia="黑体" w:cs="Times New Roman"/>
          <w:b/>
          <w:caps/>
          <w:color w:val="0F6FC6" w:themeColor="accent5"/>
          <w:sz w:val="21"/>
          <w:szCs w:val="36"/>
          <w:lang w:val="zh-CN"/>
          <w14:textFill>
            <w14:solidFill>
              <w14:schemeClr w14:val="accent5"/>
            </w14:solidFill>
          </w14:textFill>
        </w:rPr>
        <w:t>毕业生获取招聘信息的来源</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51"/>
        <w:rPr>
          <w:color w:val="0F6FC6" w:themeColor="accent5"/>
          <w14:textFill>
            <w14:solidFill>
              <w14:schemeClr w14:val="accent5"/>
            </w14:solidFill>
          </w14:textFill>
        </w:rPr>
      </w:pPr>
      <w:bookmarkStart w:id="130" w:name="_Toc80114311"/>
      <w:bookmarkStart w:id="131" w:name="_Toc92706727"/>
      <w:r>
        <w:rPr>
          <w:rFonts w:hint="eastAsia"/>
          <w:color w:val="0F6FC6" w:themeColor="accent5"/>
          <w14:textFill>
            <w14:solidFill>
              <w14:schemeClr w14:val="accent5"/>
            </w14:solidFill>
          </w14:textFill>
        </w:rPr>
        <w:t>（二）择业关注因素</w:t>
      </w:r>
      <w:bookmarkEnd w:id="130"/>
      <w:bookmarkEnd w:id="131"/>
    </w:p>
    <w:p>
      <w:pPr>
        <w:pStyle w:val="135"/>
        <w:ind w:firstLine="480"/>
      </w:pPr>
      <w:r>
        <w:rPr>
          <w:rFonts w:hint="eastAsia" w:ascii="宋体" w:hAnsi="宋体"/>
        </w:rPr>
        <w:t>求职过程既是检验个人自身知识、技能及所形成的人格、择业观与社会需求是否相适应的过程，也是体现个人生活与理想追求的过程。</w:t>
      </w:r>
      <w:r>
        <w:t>2021</w:t>
      </w:r>
      <w:r>
        <w:rPr>
          <w:rFonts w:hint="eastAsia" w:ascii="宋体" w:hAnsi="宋体"/>
        </w:rPr>
        <w:t>届</w:t>
      </w:r>
      <w:r>
        <w:rPr>
          <w:rFonts w:hint="eastAsia"/>
        </w:rPr>
        <w:t>本科</w:t>
      </w:r>
      <w:r>
        <w:t>毕业生</w:t>
      </w:r>
      <w:r>
        <w:rPr>
          <w:rFonts w:hint="eastAsia"/>
        </w:rPr>
        <w:t>在择业时候最关注的因素为“个人发展空间”，</w:t>
      </w:r>
      <w:r>
        <w:t>占比为</w:t>
      </w:r>
      <w:r>
        <w:rPr>
          <w:rFonts w:hint="eastAsia"/>
        </w:rPr>
        <w:t>31.23%，专科毕业生在择业时候最关注的因素为“个人发展空间”，</w:t>
      </w:r>
      <w:r>
        <w:t>占比为</w:t>
      </w:r>
      <w:r>
        <w:rPr>
          <w:rFonts w:hint="eastAsia"/>
        </w:rPr>
        <w:t>30.69%。</w:t>
      </w:r>
    </w:p>
    <w:p>
      <w:pPr>
        <w:pStyle w:val="135"/>
        <w:spacing w:before="120"/>
        <w:ind w:left="400" w:firstLine="480"/>
      </w:pPr>
      <w:r>
        <w:drawing>
          <wp:inline distT="0" distB="0" distL="0" distR="0">
            <wp:extent cx="5015865" cy="4699635"/>
            <wp:effectExtent l="0" t="0" r="635"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35"/>
        <w:spacing w:before="120"/>
        <w:ind w:left="400" w:firstLine="422"/>
        <w:jc w:val="center"/>
        <w:rPr>
          <w:rFonts w:eastAsia="黑体" w:cs="Times New Roman"/>
          <w:b/>
          <w:caps/>
          <w:color w:val="0F6FC6" w:themeColor="accent5"/>
          <w:sz w:val="21"/>
          <w:szCs w:val="36"/>
          <w:lang w:val="zh-CN"/>
          <w14:textFill>
            <w14:solidFill>
              <w14:schemeClr w14:val="accent5"/>
            </w14:solidFill>
          </w14:textFill>
        </w:rPr>
      </w:pPr>
      <w:r>
        <w:rPr>
          <w:rFonts w:eastAsia="黑体" w:cs="Times New Roman"/>
          <w:b/>
          <w:color w:val="0070C0"/>
          <w:sz w:val="21"/>
          <w:szCs w:val="21"/>
        </w:rPr>
        <w:t xml:space="preserve">图2- </w:t>
      </w:r>
      <w:r>
        <w:rPr>
          <w:rFonts w:eastAsia="黑体" w:cs="Times New Roman"/>
          <w:b/>
          <w:color w:val="0070C0"/>
          <w:sz w:val="21"/>
          <w:szCs w:val="21"/>
        </w:rPr>
        <w:fldChar w:fldCharType="begin"/>
      </w:r>
      <w:r>
        <w:rPr>
          <w:rFonts w:eastAsia="黑体" w:cs="Times New Roman"/>
          <w:b/>
          <w:color w:val="0070C0"/>
          <w:sz w:val="21"/>
          <w:szCs w:val="21"/>
        </w:rPr>
        <w:instrText xml:space="preserve"> SEQ 图2- \* ARABIC </w:instrText>
      </w:r>
      <w:r>
        <w:rPr>
          <w:rFonts w:eastAsia="黑体" w:cs="Times New Roman"/>
          <w:b/>
          <w:color w:val="0070C0"/>
          <w:sz w:val="21"/>
          <w:szCs w:val="21"/>
        </w:rPr>
        <w:fldChar w:fldCharType="separate"/>
      </w:r>
      <w:r>
        <w:rPr>
          <w:rFonts w:eastAsia="黑体" w:cs="Times New Roman"/>
          <w:b/>
          <w:color w:val="0070C0"/>
          <w:sz w:val="21"/>
          <w:szCs w:val="21"/>
        </w:rPr>
        <w:t>15</w:t>
      </w:r>
      <w:r>
        <w:rPr>
          <w:rFonts w:eastAsia="黑体" w:cs="Times New Roman"/>
          <w:b/>
          <w:color w:val="0070C0"/>
          <w:sz w:val="21"/>
          <w:szCs w:val="21"/>
        </w:rPr>
        <w:fldChar w:fldCharType="end"/>
      </w:r>
      <w:r>
        <w:rPr>
          <w:rStyle w:val="37"/>
          <w:rFonts w:eastAsia="黑体" w:cs="Times New Roman"/>
          <w:b w:val="0"/>
          <w:color w:val="0070C0"/>
          <w:sz w:val="21"/>
          <w:szCs w:val="21"/>
        </w:rPr>
        <w:t xml:space="preserve"> </w:t>
      </w:r>
      <w:r>
        <w:rPr>
          <w:rFonts w:eastAsia="黑体" w:cs="Times New Roman"/>
          <w:b/>
          <w:caps/>
          <w:color w:val="0F6FC6" w:themeColor="accent5"/>
          <w:sz w:val="21"/>
          <w:szCs w:val="36"/>
          <w:lang w:val="zh-CN"/>
          <w14:textFill>
            <w14:solidFill>
              <w14:schemeClr w14:val="accent5"/>
            </w14:solidFill>
          </w14:textFill>
        </w:rPr>
        <w:t xml:space="preserve"> </w:t>
      </w:r>
      <w:r>
        <w:rPr>
          <w:rFonts w:hint="eastAsia" w:eastAsia="黑体" w:cs="Times New Roman"/>
          <w:b/>
          <w:caps/>
          <w:color w:val="0F6FC6" w:themeColor="accent5"/>
          <w:sz w:val="21"/>
          <w:szCs w:val="36"/>
          <w:lang w:val="zh-CN"/>
          <w14:textFill>
            <w14:solidFill>
              <w14:schemeClr w14:val="accent5"/>
            </w14:solidFill>
          </w14:textFill>
        </w:rPr>
        <w:t>2021届毕业生择业过程中关注的因素</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51"/>
        <w:rPr>
          <w:color w:val="0F6FC6" w:themeColor="accent5"/>
          <w14:textFill>
            <w14:solidFill>
              <w14:schemeClr w14:val="accent5"/>
            </w14:solidFill>
          </w14:textFill>
        </w:rPr>
      </w:pPr>
      <w:bookmarkStart w:id="132" w:name="_Toc92706728"/>
      <w:bookmarkStart w:id="133" w:name="_Toc80114312"/>
      <w:r>
        <w:rPr>
          <w:rFonts w:hint="eastAsia"/>
          <w:color w:val="0F6FC6" w:themeColor="accent5"/>
          <w14:textFill>
            <w14:solidFill>
              <w14:schemeClr w14:val="accent5"/>
            </w14:solidFill>
          </w14:textFill>
        </w:rPr>
        <w:t>（三）求职成功途径</w:t>
      </w:r>
      <w:bookmarkEnd w:id="132"/>
      <w:bookmarkEnd w:id="133"/>
    </w:p>
    <w:p>
      <w:pPr>
        <w:pStyle w:val="135"/>
        <w:ind w:firstLine="480"/>
      </w:pPr>
      <w:r>
        <w:rPr>
          <w:rFonts w:hint="eastAsia" w:ascii="宋体" w:hAnsi="宋体"/>
        </w:rPr>
        <w:t>调研毕业生求职成功途径，可以让高校在未来的就业服务工作上更有侧重点和聚焦点。</w:t>
      </w:r>
      <w:r>
        <w:t>2021</w:t>
      </w:r>
      <w:r>
        <w:rPr>
          <w:rFonts w:hint="eastAsia" w:ascii="宋体" w:hAnsi="宋体"/>
        </w:rPr>
        <w:t>届</w:t>
      </w:r>
      <w:r>
        <w:rPr>
          <w:rFonts w:hint="eastAsia"/>
        </w:rPr>
        <w:t>本科</w:t>
      </w:r>
      <w:r>
        <w:t>毕业生</w:t>
      </w:r>
      <w:r>
        <w:rPr>
          <w:rFonts w:hint="eastAsia"/>
        </w:rPr>
        <w:t>落实第一份工作的主要渠道为“校外各类招聘网站信息”，</w:t>
      </w:r>
      <w:r>
        <w:t>占比为</w:t>
      </w:r>
      <w:r>
        <w:rPr>
          <w:rFonts w:hint="eastAsia"/>
        </w:rPr>
        <w:t>29.34%，专科毕业生落实第一份工作的主要渠道为“工作实习”，</w:t>
      </w:r>
      <w:r>
        <w:t>占比为</w:t>
      </w:r>
      <w:r>
        <w:rPr>
          <w:rFonts w:hint="eastAsia"/>
        </w:rPr>
        <w:t>22.17%。</w:t>
      </w:r>
    </w:p>
    <w:p>
      <w:pPr>
        <w:pStyle w:val="218"/>
        <w:spacing w:before="156" w:after="156"/>
        <w:rPr>
          <w:color w:val="0F6FC6" w:themeColor="accent5"/>
          <w14:textFill>
            <w14:solidFill>
              <w14:schemeClr w14:val="accent5"/>
            </w14:solidFill>
          </w14:textFill>
        </w:rPr>
      </w:pPr>
      <w:r>
        <w:rPr>
          <w:lang w:val="en-US"/>
        </w:rPr>
        <w:drawing>
          <wp:inline distT="0" distB="0" distL="0" distR="0">
            <wp:extent cx="5528945" cy="3876675"/>
            <wp:effectExtent l="0" t="0" r="0" b="0"/>
            <wp:docPr id="1407" name="图表 1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color w:val="0070C0"/>
          <w:szCs w:val="21"/>
        </w:rPr>
        <w:t xml:space="preserve">图2- </w:t>
      </w:r>
      <w:r>
        <w:rPr>
          <w:color w:val="0070C0"/>
          <w:szCs w:val="21"/>
        </w:rPr>
        <w:fldChar w:fldCharType="begin"/>
      </w:r>
      <w:r>
        <w:rPr>
          <w:color w:val="0070C0"/>
          <w:szCs w:val="21"/>
        </w:rPr>
        <w:instrText xml:space="preserve"> SEQ 图2- \* ARABIC </w:instrText>
      </w:r>
      <w:r>
        <w:rPr>
          <w:color w:val="0070C0"/>
          <w:szCs w:val="21"/>
        </w:rPr>
        <w:fldChar w:fldCharType="separate"/>
      </w:r>
      <w:r>
        <w:rPr>
          <w:color w:val="0070C0"/>
          <w:szCs w:val="21"/>
        </w:rPr>
        <w:t>16</w:t>
      </w:r>
      <w:r>
        <w:rPr>
          <w:color w:val="0070C0"/>
          <w:szCs w:val="21"/>
        </w:rPr>
        <w:fldChar w:fldCharType="end"/>
      </w:r>
      <w:r>
        <w:rPr>
          <w:rStyle w:val="37"/>
          <w:b w:val="0"/>
          <w:color w:val="0070C0"/>
          <w:szCs w:val="21"/>
        </w:rPr>
        <w:t xml:space="preserve"> </w:t>
      </w:r>
      <w:r>
        <w:rPr>
          <w:color w:val="0F6FC6" w:themeColor="accent5"/>
          <w14:textFill>
            <w14:solidFill>
              <w14:schemeClr w14:val="accent5"/>
            </w14:solidFill>
          </w14:textFill>
        </w:rPr>
        <w:t xml:space="preserve">  2021</w:t>
      </w:r>
      <w:r>
        <w:rPr>
          <w:rFonts w:hint="eastAsia"/>
          <w:color w:val="0F6FC6" w:themeColor="accent5"/>
          <w14:textFill>
            <w14:solidFill>
              <w14:schemeClr w14:val="accent5"/>
            </w14:solidFill>
          </w14:textFill>
        </w:rPr>
        <w:t>届毕业生求职途径分布</w:t>
      </w:r>
      <w:bookmarkEnd w:id="127"/>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51"/>
        <w:rPr>
          <w:color w:val="0F6FC6" w:themeColor="accent5"/>
          <w14:textFill>
            <w14:solidFill>
              <w14:schemeClr w14:val="accent5"/>
            </w14:solidFill>
          </w14:textFill>
        </w:rPr>
      </w:pPr>
      <w:bookmarkStart w:id="134" w:name="_Toc80114313"/>
      <w:bookmarkStart w:id="135" w:name="_Toc92706729"/>
      <w:r>
        <w:rPr>
          <w:rFonts w:hint="eastAsia"/>
          <w:color w:val="0F6FC6" w:themeColor="accent5"/>
          <w14:textFill>
            <w14:solidFill>
              <w14:schemeClr w14:val="accent5"/>
            </w14:solidFill>
          </w14:textFill>
        </w:rPr>
        <w:t>（四）求职成功的影响因素</w:t>
      </w:r>
      <w:bookmarkEnd w:id="134"/>
      <w:bookmarkEnd w:id="135"/>
    </w:p>
    <w:p>
      <w:pPr>
        <w:pStyle w:val="220"/>
        <w:spacing w:before="156" w:beforeLines="50"/>
        <w:ind w:firstLine="480"/>
      </w:pPr>
      <w:r>
        <w:rPr>
          <w:rFonts w:hint="eastAsia" w:ascii="宋体" w:hAnsi="宋体"/>
        </w:rPr>
        <w:t>求职成功的影响因素多种多样，调研分析毕业生求职成功的影响因素，让学校在就业指导和服务工作上更加有针对性，从而实现毕业生的更充分就业。</w:t>
      </w:r>
    </w:p>
    <w:p>
      <w:pPr>
        <w:pStyle w:val="135"/>
        <w:spacing w:before="156" w:beforeLines="50"/>
        <w:ind w:firstLine="480"/>
      </w:pPr>
      <w:r>
        <w:rPr>
          <w:rFonts w:hint="eastAsia"/>
        </w:rPr>
        <w:t>2021届本科</w:t>
      </w:r>
      <w:r>
        <w:t>毕业生</w:t>
      </w:r>
      <w:r>
        <w:rPr>
          <w:rFonts w:hint="eastAsia"/>
        </w:rPr>
        <w:t>认为影响求职成功的关键因素主要为“专业相关能力强”（37.62%）和“实践、实习经验丰富”（20.16%），</w:t>
      </w:r>
      <w:r>
        <w:t>专科毕业生</w:t>
      </w:r>
      <w:r>
        <w:rPr>
          <w:rFonts w:hint="eastAsia"/>
        </w:rPr>
        <w:t>认为影响求职成功的关键因素主要为“专业相关能力强”（35.65%）和“实践、实习经验丰富”（24.54%）。</w:t>
      </w:r>
    </w:p>
    <w:p>
      <w:pPr>
        <w:pStyle w:val="218"/>
        <w:spacing w:before="156" w:after="156"/>
        <w:rPr>
          <w:color w:val="0F6FC6" w:themeColor="accent5"/>
          <w14:textFill>
            <w14:solidFill>
              <w14:schemeClr w14:val="accent5"/>
            </w14:solidFill>
          </w14:textFill>
        </w:rPr>
      </w:pPr>
      <w:r>
        <w:rPr>
          <w:lang w:val="en-US"/>
        </w:rPr>
        <w:drawing>
          <wp:inline distT="0" distB="0" distL="0" distR="0">
            <wp:extent cx="5610225" cy="4124325"/>
            <wp:effectExtent l="0" t="0" r="3175" b="3175"/>
            <wp:docPr id="1376" name="图表 1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color w:val="0070C0"/>
          <w:szCs w:val="21"/>
        </w:rPr>
        <w:t xml:space="preserve">图2- </w:t>
      </w:r>
      <w:r>
        <w:rPr>
          <w:color w:val="0070C0"/>
          <w:szCs w:val="21"/>
        </w:rPr>
        <w:fldChar w:fldCharType="begin"/>
      </w:r>
      <w:r>
        <w:rPr>
          <w:color w:val="0070C0"/>
          <w:szCs w:val="21"/>
        </w:rPr>
        <w:instrText xml:space="preserve"> SEQ 图2- \* ARABIC </w:instrText>
      </w:r>
      <w:r>
        <w:rPr>
          <w:color w:val="0070C0"/>
          <w:szCs w:val="21"/>
        </w:rPr>
        <w:fldChar w:fldCharType="separate"/>
      </w:r>
      <w:r>
        <w:rPr>
          <w:color w:val="0070C0"/>
          <w:szCs w:val="21"/>
        </w:rPr>
        <w:t>17</w:t>
      </w:r>
      <w:r>
        <w:rPr>
          <w:color w:val="0070C0"/>
          <w:szCs w:val="21"/>
        </w:rPr>
        <w:fldChar w:fldCharType="end"/>
      </w:r>
      <w:r>
        <w:rPr>
          <w:rStyle w:val="37"/>
          <w:b/>
          <w:color w:val="0070C0"/>
          <w:szCs w:val="21"/>
        </w:rPr>
        <w:t xml:space="preserve"> </w:t>
      </w:r>
      <w:r>
        <w:rPr>
          <w:color w:val="0F6FC6" w:themeColor="accent5"/>
          <w14:textFill>
            <w14:solidFill>
              <w14:schemeClr w14:val="accent5"/>
            </w14:solidFill>
          </w14:textFill>
        </w:rPr>
        <w:t xml:space="preserve">  2021</w:t>
      </w:r>
      <w:r>
        <w:rPr>
          <w:rFonts w:hint="eastAsia"/>
          <w:color w:val="0F6FC6" w:themeColor="accent5"/>
          <w14:textFill>
            <w14:solidFill>
              <w14:schemeClr w14:val="accent5"/>
            </w14:solidFill>
          </w14:textFill>
        </w:rPr>
        <w:t>届毕业生求职成功的影响因素</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w:t>
      </w:r>
      <w:r>
        <w:rPr>
          <w:color w:val="0F6FC6" w:themeColor="accent5"/>
          <w14:textFill>
            <w14:solidFill>
              <w14:schemeClr w14:val="accent5"/>
            </w14:solidFill>
          </w14:textFill>
        </w:rPr>
        <w:t>-2021届毕业生就业与培养质量调查。</w:t>
      </w:r>
    </w:p>
    <w:p>
      <w:pPr>
        <w:pStyle w:val="141"/>
        <w:rPr>
          <w:color w:val="0F6FC6" w:themeColor="accent5"/>
          <w14:textFill>
            <w14:solidFill>
              <w14:schemeClr w14:val="accent5"/>
            </w14:solidFill>
          </w14:textFill>
        </w:rPr>
      </w:pPr>
      <w:bookmarkStart w:id="136" w:name="_Toc92706730"/>
      <w:r>
        <w:rPr>
          <w:rFonts w:hint="eastAsia"/>
          <w:color w:val="0F6FC6" w:themeColor="accent5"/>
          <w14:textFill>
            <w14:solidFill>
              <w14:schemeClr w14:val="accent5"/>
            </w14:solidFill>
          </w14:textFill>
        </w:rPr>
        <w:t>六、待就业群体分析</w:t>
      </w:r>
      <w:r>
        <w:rPr>
          <w:rStyle w:val="41"/>
          <w:color w:val="0F6FC6" w:themeColor="accent5"/>
          <w14:textFill>
            <w14:solidFill>
              <w14:schemeClr w14:val="accent5"/>
            </w14:solidFill>
          </w14:textFill>
        </w:rPr>
        <w:footnoteReference w:id="2"/>
      </w:r>
      <w:bookmarkEnd w:id="136"/>
    </w:p>
    <w:bookmarkEnd w:id="122"/>
    <w:p>
      <w:pPr>
        <w:spacing w:line="360" w:lineRule="auto"/>
        <w:ind w:firstLine="480" w:firstLineChars="200"/>
        <w:jc w:val="both"/>
      </w:pPr>
      <w:r>
        <w:rPr>
          <w:rFonts w:hint="eastAsia"/>
        </w:rPr>
        <w:t>高校作为人才输出的主要来源地，促进毕业生就业创业毫无疑问成为高校工作的重中之重。近年来，各地多方发力，确保毕业生就业工作平稳顺利，但每年仍有“有求职意愿，但尚未就业”的毕业生群体存在。</w:t>
      </w:r>
      <w:r>
        <w:rPr>
          <w:rFonts w:ascii="Times New Roman" w:hAnsi="Times New Roman"/>
        </w:rPr>
        <w:t>2020年7月</w:t>
      </w:r>
      <w:r>
        <w:rPr>
          <w:rFonts w:hint="eastAsia"/>
        </w:rPr>
        <w:t>，教育部办公厅发布《关于为</w:t>
      </w:r>
      <w:r>
        <w:rPr>
          <w:rFonts w:hint="eastAsia" w:ascii="Times New Roman" w:hAnsi="Times New Roman"/>
        </w:rPr>
        <w:t>2020届</w:t>
      </w:r>
      <w:r>
        <w:rPr>
          <w:rFonts w:hint="eastAsia"/>
        </w:rPr>
        <w:t>离校未就业高校毕业生提供不断线就业服务的通知》，要求高校及属地政府加强对这一毕业生群体的就业服务工作，坚持以服务学生成长发展为中心的理念，加强组织领导，压实相关部门和学院责任，确保毕业生就业不断线服务工作落实到位。从待就业毕业生群体自身出发，分析包括“未落实工作的原因、期望的就业单位、需要提升的就业能力”在内的指标，可以为学校在完善这一毕业生群体的就业指导工作上提供参考。</w:t>
      </w:r>
    </w:p>
    <w:p>
      <w:pPr>
        <w:pStyle w:val="151"/>
        <w:rPr>
          <w:color w:val="0F6FC6" w:themeColor="accent5"/>
          <w14:textFill>
            <w14:solidFill>
              <w14:schemeClr w14:val="accent5"/>
            </w14:solidFill>
          </w14:textFill>
        </w:rPr>
      </w:pPr>
      <w:bookmarkStart w:id="137" w:name="_Toc80114315"/>
      <w:bookmarkStart w:id="138" w:name="_Toc92706731"/>
      <w:r>
        <w:rPr>
          <w:rFonts w:hint="eastAsia"/>
          <w:color w:val="0F6FC6" w:themeColor="accent5"/>
          <w14:textFill>
            <w14:solidFill>
              <w14:schemeClr w14:val="accent5"/>
            </w14:solidFill>
          </w14:textFill>
        </w:rPr>
        <w:t>（一）尚未落实工作的原因</w:t>
      </w:r>
      <w:bookmarkEnd w:id="137"/>
      <w:bookmarkEnd w:id="138"/>
    </w:p>
    <w:p>
      <w:pPr>
        <w:pStyle w:val="135"/>
        <w:spacing w:before="156" w:beforeLines="50"/>
        <w:ind w:firstLine="480"/>
      </w:pPr>
      <w:r>
        <w:rPr>
          <w:rFonts w:hint="eastAsia" w:ascii="宋体" w:hAnsi="宋体"/>
        </w:rPr>
        <w:t>调研分析待就业毕业生尚未落实工作的原因，有助于贯彻落实国家就业帮扶政策，实现毕业生更充分就业。</w:t>
      </w:r>
      <w:r>
        <w:t>2021</w:t>
      </w:r>
      <w:r>
        <w:rPr>
          <w:rFonts w:hint="eastAsia"/>
        </w:rPr>
        <w:t>届“求职中”的本科</w:t>
      </w:r>
      <w:r>
        <w:t>毕业生</w:t>
      </w:r>
      <w:r>
        <w:rPr>
          <w:rFonts w:hint="eastAsia"/>
        </w:rPr>
        <w:t>尚未落实工作的主要原因为“有工作意向，还在观望”（45.45%）和“专业不对口，就业面窄”（4.55%），“求职中”的</w:t>
      </w:r>
      <w:r>
        <w:t>专科毕业生</w:t>
      </w:r>
      <w:r>
        <w:rPr>
          <w:rFonts w:hint="eastAsia"/>
        </w:rPr>
        <w:t>尚未落实工作的主要原因为“缺乏相关实习、实践经验”（23.53%）和“专业不对口，就业面窄”（17.65%）。</w:t>
      </w:r>
    </w:p>
    <w:p>
      <w:pPr>
        <w:pStyle w:val="178"/>
        <w:spacing w:before="156"/>
        <w:ind w:firstLine="0" w:firstLineChars="0"/>
        <w:jc w:val="center"/>
      </w:pPr>
      <w:r>
        <w:rPr>
          <w:lang w:val="en-US"/>
        </w:rPr>
        <w:drawing>
          <wp:inline distT="0" distB="0" distL="0" distR="0">
            <wp:extent cx="5876925" cy="3352800"/>
            <wp:effectExtent l="0" t="0" r="3175" b="0"/>
            <wp:docPr id="1377" name="图表 1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80"/>
        <w:tabs>
          <w:tab w:val="left" w:pos="400"/>
          <w:tab w:val="center" w:pos="4394"/>
        </w:tabs>
      </w:pPr>
      <w:r>
        <w:rPr>
          <w:color w:val="0070C0"/>
          <w:szCs w:val="21"/>
        </w:rPr>
        <w:t xml:space="preserve">图2- </w:t>
      </w:r>
      <w:r>
        <w:rPr>
          <w:color w:val="0070C0"/>
          <w:szCs w:val="21"/>
        </w:rPr>
        <w:fldChar w:fldCharType="begin"/>
      </w:r>
      <w:r>
        <w:rPr>
          <w:color w:val="0070C0"/>
          <w:szCs w:val="21"/>
        </w:rPr>
        <w:instrText xml:space="preserve"> SEQ 图2- \* ARABIC </w:instrText>
      </w:r>
      <w:r>
        <w:rPr>
          <w:color w:val="0070C0"/>
          <w:szCs w:val="21"/>
        </w:rPr>
        <w:fldChar w:fldCharType="separate"/>
      </w:r>
      <w:r>
        <w:rPr>
          <w:color w:val="0070C0"/>
          <w:szCs w:val="21"/>
        </w:rPr>
        <w:t>18</w:t>
      </w:r>
      <w:r>
        <w:rPr>
          <w:color w:val="0070C0"/>
          <w:szCs w:val="21"/>
        </w:rPr>
        <w:fldChar w:fldCharType="end"/>
      </w:r>
      <w:r>
        <w:rPr>
          <w:rStyle w:val="37"/>
          <w:b/>
          <w:color w:val="0070C0"/>
          <w:szCs w:val="21"/>
        </w:rPr>
        <w:t xml:space="preserve"> </w:t>
      </w:r>
      <w:r>
        <w:rPr>
          <w:rFonts w:hint="eastAsia"/>
        </w:rPr>
        <w:t xml:space="preserve"> 尚未落实工作的原因</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p>
      <w:pPr>
        <w:pStyle w:val="151"/>
        <w:rPr>
          <w:color w:val="0F6FC6" w:themeColor="accent5"/>
          <w14:textFill>
            <w14:solidFill>
              <w14:schemeClr w14:val="accent5"/>
            </w14:solidFill>
          </w14:textFill>
        </w:rPr>
      </w:pPr>
      <w:bookmarkStart w:id="139" w:name="_Toc80114316"/>
      <w:bookmarkStart w:id="140" w:name="_Toc92706732"/>
      <w:r>
        <w:rPr>
          <w:rFonts w:hint="eastAsia"/>
          <w:color w:val="0F6FC6" w:themeColor="accent5"/>
          <w14:textFill>
            <w14:solidFill>
              <w14:schemeClr w14:val="accent5"/>
            </w14:solidFill>
          </w14:textFill>
        </w:rPr>
        <w:t>（二）期望就业单位</w:t>
      </w:r>
      <w:bookmarkEnd w:id="139"/>
      <w:bookmarkEnd w:id="140"/>
    </w:p>
    <w:p>
      <w:pPr>
        <w:pStyle w:val="220"/>
        <w:spacing w:before="156" w:beforeLines="50"/>
        <w:ind w:firstLine="480"/>
        <w:rPr>
          <w:rFonts w:ascii="宋体" w:hAnsi="宋体"/>
        </w:rPr>
      </w:pPr>
      <w:r>
        <w:rPr>
          <w:rFonts w:hint="eastAsia" w:ascii="宋体" w:hAnsi="宋体"/>
        </w:rPr>
        <w:t>通过统计分析待就业毕业生的期待就业单位，使学校在选择就业信息、组织招聘会、就业推荐等工作上更加有针对性，从而提高就业指导效率和服务水平。</w:t>
      </w:r>
    </w:p>
    <w:p>
      <w:pPr>
        <w:pStyle w:val="135"/>
        <w:spacing w:before="120"/>
        <w:ind w:firstLine="480"/>
      </w:pPr>
      <w:r>
        <w:t>2021</w:t>
      </w:r>
      <w:r>
        <w:rPr>
          <w:rFonts w:hint="eastAsia"/>
        </w:rPr>
        <w:t>届“求职中”的本科</w:t>
      </w:r>
      <w:r>
        <w:t>毕业生</w:t>
      </w:r>
      <w:r>
        <w:rPr>
          <w:rFonts w:hint="eastAsia"/>
        </w:rPr>
        <w:t>期望的就业单位主要为“国有企业”</w:t>
      </w:r>
      <w:r>
        <w:rPr>
          <w:rFonts w:hint="eastAsia" w:ascii="Calibri" w:hAnsi="Calibri" w:eastAsia="Calibri"/>
        </w:rPr>
        <w:t>（</w:t>
      </w:r>
      <w:r>
        <w:rPr>
          <w:rFonts w:hint="eastAsia"/>
        </w:rPr>
        <w:t>36.36%）；“求职中”的专科</w:t>
      </w:r>
      <w:r>
        <w:t>毕业生</w:t>
      </w:r>
      <w:r>
        <w:rPr>
          <w:rFonts w:hint="eastAsia"/>
        </w:rPr>
        <w:t>期望的就业单位主要为“医疗卫生单位”</w:t>
      </w:r>
      <w:r>
        <w:rPr>
          <w:rFonts w:hint="eastAsia" w:ascii="微软雅黑" w:hAnsi="微软雅黑" w:eastAsia="微软雅黑" w:cs="微软雅黑"/>
        </w:rPr>
        <w:t>（</w:t>
      </w:r>
      <w:r>
        <w:rPr>
          <w:rFonts w:hint="eastAsia"/>
        </w:rPr>
        <w:t>41.18%）。</w:t>
      </w:r>
    </w:p>
    <w:p>
      <w:pPr>
        <w:pStyle w:val="135"/>
        <w:spacing w:before="120"/>
        <w:ind w:firstLine="480"/>
      </w:pPr>
      <w:r>
        <w:drawing>
          <wp:inline distT="0" distB="0" distL="0" distR="0">
            <wp:extent cx="5314950" cy="4913630"/>
            <wp:effectExtent l="0" t="0" r="0" b="1270"/>
            <wp:docPr id="1378" name="图表 1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80"/>
        <w:tabs>
          <w:tab w:val="left" w:pos="400"/>
          <w:tab w:val="center" w:pos="4394"/>
        </w:tabs>
        <w:rPr>
          <w:lang w:val="en-US"/>
        </w:rPr>
      </w:pPr>
      <w:r>
        <w:rPr>
          <w:color w:val="0070C0"/>
          <w:szCs w:val="21"/>
        </w:rPr>
        <w:t xml:space="preserve">图2- </w:t>
      </w:r>
      <w:r>
        <w:rPr>
          <w:color w:val="0070C0"/>
          <w:szCs w:val="21"/>
        </w:rPr>
        <w:fldChar w:fldCharType="begin"/>
      </w:r>
      <w:r>
        <w:rPr>
          <w:color w:val="0070C0"/>
          <w:szCs w:val="21"/>
        </w:rPr>
        <w:instrText xml:space="preserve"> SEQ 图2- \* ARABIC </w:instrText>
      </w:r>
      <w:r>
        <w:rPr>
          <w:color w:val="0070C0"/>
          <w:szCs w:val="21"/>
        </w:rPr>
        <w:fldChar w:fldCharType="separate"/>
      </w:r>
      <w:r>
        <w:rPr>
          <w:color w:val="0070C0"/>
          <w:szCs w:val="21"/>
        </w:rPr>
        <w:t>19</w:t>
      </w:r>
      <w:r>
        <w:rPr>
          <w:color w:val="0070C0"/>
          <w:szCs w:val="21"/>
        </w:rPr>
        <w:fldChar w:fldCharType="end"/>
      </w:r>
      <w:r>
        <w:rPr>
          <w:rStyle w:val="37"/>
          <w:b/>
          <w:color w:val="0070C0"/>
          <w:szCs w:val="21"/>
        </w:rPr>
        <w:t xml:space="preserve"> </w:t>
      </w:r>
      <w:r>
        <w:rPr>
          <w:rFonts w:hint="eastAsia"/>
        </w:rPr>
        <w:t xml:space="preserve">  求职单位期望</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p>
      <w:pPr>
        <w:pStyle w:val="151"/>
        <w:rPr>
          <w:color w:val="0F6FC6" w:themeColor="accent5"/>
          <w14:textFill>
            <w14:solidFill>
              <w14:schemeClr w14:val="accent5"/>
            </w14:solidFill>
          </w14:textFill>
        </w:rPr>
      </w:pPr>
      <w:bookmarkStart w:id="141" w:name="_Toc92706733"/>
      <w:bookmarkStart w:id="142" w:name="_Toc80114318"/>
      <w:r>
        <w:rPr>
          <w:rFonts w:hint="eastAsia"/>
          <w:color w:val="0F6FC6" w:themeColor="accent5"/>
          <w14:textFill>
            <w14:solidFill>
              <w14:schemeClr w14:val="accent5"/>
            </w14:solidFill>
          </w14:textFill>
        </w:rPr>
        <w:t>（三）需要提升的就业能力</w:t>
      </w:r>
      <w:bookmarkEnd w:id="141"/>
      <w:bookmarkEnd w:id="142"/>
    </w:p>
    <w:p>
      <w:pPr>
        <w:spacing w:line="360" w:lineRule="auto"/>
        <w:ind w:firstLine="480"/>
        <w:jc w:val="both"/>
      </w:pPr>
      <w:r>
        <w:rPr>
          <w:rFonts w:hint="eastAsia"/>
        </w:rPr>
        <w:t>通过调研分析待就业毕业生需要提升的就业能力，对优化完善学校人才培养方案、调整课程设置、针对性的制定职业规划和就业指导服务工作有重要的决策参考价值。</w:t>
      </w:r>
    </w:p>
    <w:p>
      <w:pPr>
        <w:pStyle w:val="135"/>
        <w:spacing w:before="120"/>
        <w:ind w:firstLine="480"/>
      </w:pPr>
      <w:r>
        <w:rPr>
          <w:rFonts w:hint="eastAsia"/>
        </w:rPr>
        <w:t>2021届“求职中”的本科</w:t>
      </w:r>
      <w:r>
        <w:t>毕业生</w:t>
      </w:r>
      <w:r>
        <w:rPr>
          <w:rFonts w:hint="eastAsia"/>
        </w:rPr>
        <w:t>认为自身需要提升的就业能力</w:t>
      </w:r>
      <w:r>
        <w:t>主要</w:t>
      </w:r>
      <w:r>
        <w:rPr>
          <w:rFonts w:hint="eastAsia"/>
        </w:rPr>
        <w:t>为“专业知识”</w:t>
      </w:r>
      <w:r>
        <w:rPr>
          <w:rFonts w:hint="eastAsia" w:ascii="宋体" w:hAnsi="宋体" w:cs="宋体"/>
        </w:rPr>
        <w:t>（</w:t>
      </w:r>
      <w:r>
        <w:rPr>
          <w:rFonts w:hint="eastAsia"/>
        </w:rPr>
        <w:t>27.27%）；“求职中”的专科毕业生认为自身需要提升的就业能力</w:t>
      </w:r>
      <w:r>
        <w:t>主要</w:t>
      </w:r>
      <w:r>
        <w:rPr>
          <w:rFonts w:hint="eastAsia"/>
        </w:rPr>
        <w:t>为“专业知识”</w:t>
      </w:r>
      <w:r>
        <w:rPr>
          <w:rFonts w:hint="eastAsia" w:ascii="宋体" w:hAnsi="宋体" w:cs="宋体"/>
        </w:rPr>
        <w:t>（</w:t>
      </w:r>
      <w:r>
        <w:rPr>
          <w:rFonts w:hint="eastAsia"/>
        </w:rPr>
        <w:t>41.18%）。</w:t>
      </w:r>
    </w:p>
    <w:p>
      <w:pPr>
        <w:pStyle w:val="218"/>
        <w:spacing w:before="156" w:after="156"/>
      </w:pPr>
      <w:r>
        <w:rPr>
          <w:lang w:val="en-US"/>
        </w:rPr>
        <w:drawing>
          <wp:inline distT="0" distB="0" distL="0" distR="0">
            <wp:extent cx="5580380" cy="33528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218"/>
        <w:spacing w:before="156" w:after="156"/>
        <w:rPr>
          <w:color w:val="0F6FC6"/>
        </w:rPr>
      </w:pPr>
      <w:r>
        <w:rPr>
          <w:color w:val="0070C0"/>
          <w:szCs w:val="21"/>
        </w:rPr>
        <w:t xml:space="preserve">图2- </w:t>
      </w:r>
      <w:r>
        <w:rPr>
          <w:color w:val="0070C0"/>
          <w:szCs w:val="21"/>
        </w:rPr>
        <w:fldChar w:fldCharType="begin"/>
      </w:r>
      <w:r>
        <w:rPr>
          <w:color w:val="0070C0"/>
          <w:szCs w:val="21"/>
        </w:rPr>
        <w:instrText xml:space="preserve"> SEQ 图2- \* ARABIC </w:instrText>
      </w:r>
      <w:r>
        <w:rPr>
          <w:color w:val="0070C0"/>
          <w:szCs w:val="21"/>
        </w:rPr>
        <w:fldChar w:fldCharType="separate"/>
      </w:r>
      <w:r>
        <w:rPr>
          <w:color w:val="0070C0"/>
          <w:szCs w:val="21"/>
        </w:rPr>
        <w:t>20</w:t>
      </w:r>
      <w:r>
        <w:rPr>
          <w:color w:val="0070C0"/>
          <w:szCs w:val="21"/>
        </w:rPr>
        <w:fldChar w:fldCharType="end"/>
      </w:r>
      <w:r>
        <w:rPr>
          <w:rStyle w:val="37"/>
          <w:b/>
          <w:color w:val="0070C0"/>
          <w:szCs w:val="21"/>
        </w:rPr>
        <w:t xml:space="preserve"> </w:t>
      </w:r>
      <w:r>
        <w:rPr>
          <w:rFonts w:hint="eastAsia"/>
        </w:rPr>
        <w:t xml:space="preserve">  </w:t>
      </w:r>
      <w:r>
        <w:rPr>
          <w:rFonts w:hint="eastAsia"/>
          <w:color w:val="0F6FC6"/>
        </w:rPr>
        <w:t>需要提升的就业能力分布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bookmarkEnd w:id="123"/>
      <w:bookmarkEnd w:id="124"/>
      <w:bookmarkEnd w:id="125"/>
      <w:bookmarkEnd w:id="126"/>
      <w:bookmarkStart w:id="143" w:name="_Hlk49155264"/>
    </w:p>
    <w:bookmarkEnd w:id="143"/>
    <w:p>
      <w:r>
        <w:br w:type="page"/>
      </w:r>
    </w:p>
    <w:p>
      <w:r>
        <w:pict>
          <v:shape id="文本框 1395" o:spid="_x0000_s1027" o:spt="202" type="#_x0000_t202" style="position:absolute;left:0pt;margin-left:1.55pt;margin-top:78.15pt;height:184.5pt;width:595.3pt;mso-position-horizontal-relative:pag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YhzgIAAMcFAAAOAAAAZHJzL2Uyb0RvYy54bWysVMuO0zAU3SPxD5b3mTyatE006WimaRDS&#10;8JAGPsBNnMYisYPtNh0QW/gDVmzY8139Dq6dvmZmgwAvLNv3+tzXuffyats2aEOlYoKn2L/wMKK8&#10;ECXjqxS/f5c7U4yUJrwkjeA0xfdU4avZ82eXfZfQQNSiKalEAMJV0ncprrXuEtdVRU1boi5ERzkI&#10;KyFbouEqV24pSQ/obeMGnjd2eyHLToqCKgWv2SDEM4tfVbTQb6pKUY2aFINv2u7S7kuzu7NLkqwk&#10;6WpW7N0gf+FFSxgHo0eojGiC1pI9gWpZIYUSlb4oROuKqmIFtTFANL73KJq7mnTUxgLJUd0xTer/&#10;wRavN28lYmWKpxFGnLRQo933b7sfv3Y/vyJ/FEcmRX2nEtC860BXb2/EFkptw1XdrSg+KMTFvCZ8&#10;Ra+lFH1NSQku+uane/Z1wFEGZNm/EiWYImstLNC2kq3JH2QEATqU6v5YHrrVqIDHSTT2Rj6ICpAF&#10;o3DkR7aALkkO3zup9AsqWmQOKZZQfwtPNrdKG3dIclAx1rjIWdNYDjT8wQMoDi9gHL4amXHDlvRz&#10;7MWL6WIaOmEwXjihl2XOdT4PnXHuT6JslM3nmf/F2PXDpGZlSbkxc6CXH/5Z+fZEH4hxJJgSDSsN&#10;nHFJydVy3ki0IUDv3C6bdJCc1NyHbtgkQCyPQvKD0LsJYicfTydOmIeRE0+8qeP58U089sI4zPKH&#10;Id0yTv89JNSnOI6CaGDTyelHsXl2PY2NJC3TMEAa1gKDj0okMRxc8NKWVhPWDOezVBj3T6mAch8K&#10;bRlrSDrQVW+XW9sfwfjQCUtR3gOHpQCGARth+sGhFvITRj1MkhSrj2siKUbNSw59EPthaEaPvYTR&#10;JICLPJcszyWEFwCVYo3RcJzrYVytO8lWNVgaOo+La+idillWmyYbvNp3HEwLG9x+splxdH63Wqf5&#10;O/sNAAD//wMAUEsDBBQABgAIAAAAIQA3bVyl4QAAAA8BAAAPAAAAZHJzL2Rvd25yZXYueG1sTE9N&#10;T8MwDL0j8R8iI3FjSVe6sa7phJi4ghgMiVvWeG1F41RNtpZ/j3eCiyX7Pb+PYjO5TpxxCK0nDclM&#10;gUCqvG2p1vDx/nz3ACJEQ9Z0nlDDDwbYlNdXhcmtH+kNz7tYCxahkBsNTYx9LmWoGnQmzHyPxNjR&#10;D85EXoda2sGMLO46OVdqIZ1piR0a0+NTg9X37uQ07F+OX5/36rXeuqwf/aQkuZXU+vZm2q55PK5B&#10;RJzi3wdcOnB+KDnYwZ/IBtFpSBMm8jlbpCAueLJKlyAOGrJ5loIsC/m/R/kLAAD//wMAUEsBAi0A&#10;FAAGAAgAAAAhALaDOJL+AAAA4QEAABMAAAAAAAAAAAAAAAAAAAAAAFtDb250ZW50X1R5cGVzXS54&#10;bWxQSwECLQAUAAYACAAAACEAOP0h/9YAAACUAQAACwAAAAAAAAAAAAAAAAAvAQAAX3JlbHMvLnJl&#10;bHNQSwECLQAUAAYACAAAACEAxXoWIc4CAADHBQAADgAAAAAAAAAAAAAAAAAuAgAAZHJzL2Uyb0Rv&#10;Yy54bWxQSwECLQAUAAYACAAAACEAN21cpeEAAAAPAQAADwAAAAAAAAAAAAAAAAAoBQAAZHJzL2Rv&#10;d25yZXYueG1sUEsFBgAAAAAEAAQA8wAAADYGAAAAAA==&#10;">
            <v:path/>
            <v:fill on="f" focussize="0,0"/>
            <v:stroke on="f" joinstyle="miter"/>
            <v:imagedata o:title=""/>
            <o:lock v:ext="edit"/>
            <v:textbo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第三篇</w:t>
                  </w:r>
                </w:p>
                <w:p>
                  <w:pPr>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就业</w:t>
                  </w:r>
                  <w:r>
                    <w:rPr>
                      <w:rFonts w:ascii="微软雅黑" w:hAnsi="微软雅黑" w:eastAsia="微软雅黑"/>
                      <w:b/>
                      <w:color w:val="0F6FC6"/>
                      <w:sz w:val="52"/>
                      <w:szCs w:val="52"/>
                    </w:rPr>
                    <w:t>创业工作</w:t>
                  </w:r>
                  <w:r>
                    <w:rPr>
                      <w:rFonts w:hint="eastAsia" w:ascii="微软雅黑" w:hAnsi="微软雅黑" w:eastAsia="微软雅黑"/>
                      <w:b/>
                      <w:color w:val="0F6FC6"/>
                      <w:sz w:val="52"/>
                      <w:szCs w:val="52"/>
                    </w:rPr>
                    <w:t>举措</w:t>
                  </w:r>
                </w:p>
                <w:p>
                  <w:pPr>
                    <w:jc w:val="center"/>
                    <w:rPr>
                      <w:rFonts w:ascii="微软雅黑" w:hAnsi="微软雅黑" w:eastAsia="微软雅黑"/>
                      <w:b/>
                      <w:color w:val="4C659B"/>
                      <w:sz w:val="44"/>
                      <w:szCs w:val="36"/>
                    </w:rPr>
                  </w:pPr>
                </w:p>
              </w:txbxContent>
            </v:textbox>
          </v:shape>
        </w:pict>
      </w:r>
      <w:r>
        <w:rPr>
          <w:b/>
          <w:sz w:val="36"/>
        </w:rPr>
        <w:drawing>
          <wp:anchor distT="0" distB="0" distL="114300" distR="114300" simplePos="0" relativeHeight="251670528" behindDoc="1" locked="0" layoutInCell="1" allowOverlap="1">
            <wp:simplePos x="0" y="0"/>
            <wp:positionH relativeFrom="page">
              <wp:posOffset>19050</wp:posOffset>
            </wp:positionH>
            <wp:positionV relativeFrom="paragraph">
              <wp:posOffset>-900430</wp:posOffset>
            </wp:positionV>
            <wp:extent cx="7545705" cy="10235565"/>
            <wp:effectExtent l="0" t="0" r="0" b="0"/>
            <wp:wrapNone/>
            <wp:docPr id="1389"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图片 138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5705" cy="10235441"/>
                    </a:xfrm>
                    <a:prstGeom prst="rect">
                      <a:avLst/>
                    </a:prstGeom>
                  </pic:spPr>
                </pic:pic>
              </a:graphicData>
            </a:graphic>
          </wp:anchor>
        </w:drawing>
      </w:r>
    </w:p>
    <w:p>
      <w:pPr>
        <w:pageBreakBefore/>
        <w:shd w:val="clear" w:color="auto" w:fill="0F6FC6"/>
        <w:spacing w:before="156" w:beforeLines="50" w:after="156" w:afterLines="50" w:line="400" w:lineRule="atLeast"/>
        <w:jc w:val="center"/>
        <w:outlineLvl w:val="0"/>
        <w:rPr>
          <w:rFonts w:ascii="Calibri" w:hAnsi="Calibri" w:eastAsia="黑体"/>
          <w:b/>
          <w:caps/>
          <w:color w:val="FFFFFF"/>
          <w:sz w:val="32"/>
          <w:szCs w:val="32"/>
        </w:rPr>
      </w:pPr>
      <w:bookmarkStart w:id="144" w:name="_Toc80114320"/>
      <w:bookmarkStart w:id="145" w:name="_Toc92706734"/>
      <w:bookmarkStart w:id="146" w:name="_Toc443485610"/>
      <w:bookmarkStart w:id="147" w:name="_Toc401122308"/>
      <w:r>
        <w:rPr>
          <w:rFonts w:hint="eastAsia" w:ascii="Calibri" w:hAnsi="Calibri" w:eastAsia="黑体"/>
          <w:b/>
          <w:caps/>
          <w:color w:val="FFFFFF"/>
          <w:sz w:val="32"/>
          <w:szCs w:val="32"/>
        </w:rPr>
        <w:t>第三篇：就业创业工作举措</w:t>
      </w:r>
      <w:bookmarkEnd w:id="144"/>
      <w:bookmarkEnd w:id="145"/>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2021年，在省就业指导服务中心的领导下，学校认真贯彻落实党中央、国务院关于做好“稳就业”“保就业”工作的重大决策部署，落实习近平总书记关于高校毕业生就业工作的重要指示批示精神，按照学校党委的统一部署，扎实推进就业工作“一把手”工程，在疫情防控常态化情况下，坚持就业育人理念，以人为本，以点带面，做细坐实各项工作方案和预案，稳步推进就业创业工作，取得了就业创业工作总体稳定并向好发展的态势。</w:t>
      </w:r>
    </w:p>
    <w:p>
      <w:pPr>
        <w:pStyle w:val="141"/>
        <w:rPr>
          <w:color w:val="0F6FC6" w:themeColor="accent5"/>
          <w14:textFill>
            <w14:solidFill>
              <w14:schemeClr w14:val="accent5"/>
            </w14:solidFill>
          </w14:textFill>
        </w:rPr>
      </w:pPr>
      <w:bookmarkStart w:id="148" w:name="_Toc92706735"/>
      <w:r>
        <w:rPr>
          <w:rFonts w:hint="eastAsia"/>
          <w:color w:val="0F6FC6" w:themeColor="accent5"/>
          <w14:textFill>
            <w14:solidFill>
              <w14:schemeClr w14:val="accent5"/>
            </w14:solidFill>
          </w14:textFill>
        </w:rPr>
        <w:t>一、高度重视，全员参与抓就业</w:t>
      </w:r>
      <w:bookmarkEnd w:id="148"/>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加强领导，压实责任，认真落实就业创业“一把手”工程。学校成立了就业创业工作领导小组，统筹谋划就业创业工作。在抓紧、抓实、抓细常态化疫情防控工作的同时，进一步强化职能部门和各学院就业创业的组织领导，严格落实党政联席及就业工作责任制，层层分解责任，一级一级抓落实。</w:t>
      </w:r>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依托资源，深挖潜力，形成齐抓共管的工作合力。积极发挥校企合作单位、辅导员、专业教师、校友等各方面作用，主动参与就业育人各环节，在职业规划、就业指导、就业市场建设等各方面激发各方作用，全力促进就业创业工作。联合优秀校友企业共建就业实习实训基地，动员校友企业向行业联盟推荐毕业生就业，接收毕业生临时就业。</w:t>
      </w:r>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完善机制，加强督导，强化责任监督与落实。将就业创业工作纳入学校年度工作考评重要内容，考评结果作为绩效考核依据，建立了就业创业工作联系机制和工作通报制度。</w:t>
      </w:r>
    </w:p>
    <w:p>
      <w:pPr>
        <w:pStyle w:val="141"/>
        <w:rPr>
          <w:color w:val="0F6FC6" w:themeColor="accent5"/>
          <w14:textFill>
            <w14:solidFill>
              <w14:schemeClr w14:val="accent5"/>
            </w14:solidFill>
          </w14:textFill>
        </w:rPr>
      </w:pPr>
      <w:bookmarkStart w:id="149" w:name="_Toc92706736"/>
      <w:r>
        <w:rPr>
          <w:rFonts w:hint="eastAsia"/>
          <w:color w:val="0F6FC6" w:themeColor="accent5"/>
          <w14:textFill>
            <w14:solidFill>
              <w14:schemeClr w14:val="accent5"/>
            </w14:solidFill>
          </w14:textFill>
        </w:rPr>
        <w:t>二、千方百计，上下联动稳就业</w:t>
      </w:r>
      <w:bookmarkEnd w:id="149"/>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制定了荆楚理工学院毕业生招聘活动服务指南，将学校毕业生生源信息和招聘服务总体工作安排，通过校园网、微信公众号、就业信息网、就业创业工作QQ群、校园招聘用人单位微信群、QQ群等方式进行推送宣传，举办线下线上相结合，分行业、分层次等多类型的招聘活动。</w:t>
      </w:r>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积极推送发布教育部、省内外各部门、各企事业单位主办的各类招聘信息，发布就业信息单位847个，提供就业岗位47635个。线下，承办了2021年湖北百校联动春季校园招聘会，294家用人单位参加，提供就业岗位10823个。积极筹备2021年湖北百校联动秋季校园招聘会，共邀请省内外300家用人单位，提供就业岗位15152个。</w:t>
      </w:r>
    </w:p>
    <w:p>
      <w:pPr>
        <w:spacing w:line="360" w:lineRule="auto"/>
        <w:ind w:firstLine="480" w:firstLineChars="200"/>
        <w:jc w:val="both"/>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szCs w:val="21"/>
        </w:rPr>
        <w:t>严格遵守疫情防控规定，精心组织、严格审批用人单位进校开展点对点的专场宣讲会。举办多种形式的线下小型专场</w:t>
      </w:r>
      <w:r>
        <w:rPr>
          <w:rFonts w:hint="eastAsia" w:ascii="Times New Roman" w:hAnsi="Times New Roman"/>
          <w:color w:val="000000" w:themeColor="text1"/>
          <w:szCs w:val="21"/>
          <w14:textFill>
            <w14:solidFill>
              <w14:schemeClr w14:val="tx1"/>
            </w14:solidFill>
          </w14:textFill>
        </w:rPr>
        <w:t>招聘会1</w:t>
      </w:r>
      <w:r>
        <w:rPr>
          <w:rFonts w:ascii="Times New Roman" w:hAnsi="Times New Roman"/>
          <w:color w:val="000000" w:themeColor="text1"/>
          <w:szCs w:val="21"/>
          <w14:textFill>
            <w14:solidFill>
              <w14:schemeClr w14:val="tx1"/>
            </w14:solidFill>
          </w14:textFill>
        </w:rPr>
        <w:t>61</w:t>
      </w:r>
      <w:r>
        <w:rPr>
          <w:rFonts w:hint="eastAsia" w:ascii="Times New Roman" w:hAnsi="Times New Roman"/>
          <w:color w:val="000000" w:themeColor="text1"/>
          <w:szCs w:val="21"/>
          <w14:textFill>
            <w14:solidFill>
              <w14:schemeClr w14:val="tx1"/>
            </w14:solidFill>
          </w14:textFill>
        </w:rPr>
        <w:t>场次，提供就业岗位</w:t>
      </w:r>
      <w:r>
        <w:rPr>
          <w:rFonts w:ascii="Times New Roman" w:hAnsi="Times New Roman"/>
          <w:color w:val="000000" w:themeColor="text1"/>
          <w:szCs w:val="21"/>
          <w14:textFill>
            <w14:solidFill>
              <w14:schemeClr w14:val="tx1"/>
            </w14:solidFill>
          </w14:textFill>
        </w:rPr>
        <w:t>8720</w:t>
      </w:r>
      <w:r>
        <w:rPr>
          <w:rFonts w:hint="eastAsia" w:ascii="Times New Roman" w:hAnsi="Times New Roman"/>
          <w:color w:val="000000" w:themeColor="text1"/>
          <w:szCs w:val="21"/>
          <w14:textFill>
            <w14:solidFill>
              <w14:schemeClr w14:val="tx1"/>
            </w14:solidFill>
          </w14:textFill>
        </w:rPr>
        <w:t xml:space="preserve">个。   </w:t>
      </w:r>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themeColor="text1"/>
          <w:szCs w:val="21"/>
          <w14:textFill>
            <w14:solidFill>
              <w14:schemeClr w14:val="tx1"/>
            </w14:solidFill>
          </w14:textFill>
        </w:rPr>
        <w:t>邀请用人单位通过线上宣讲、远程面试、网上签约开展招聘。组织综合网络招聘会、学院专场网络招聘会和专场宣讲会</w:t>
      </w:r>
      <w:r>
        <w:rPr>
          <w:rFonts w:ascii="Times New Roman" w:hAnsi="Times New Roman"/>
          <w:color w:val="000000" w:themeColor="text1"/>
          <w:szCs w:val="21"/>
          <w14:textFill>
            <w14:solidFill>
              <w14:schemeClr w14:val="tx1"/>
            </w14:solidFill>
          </w14:textFill>
        </w:rPr>
        <w:t>20</w:t>
      </w:r>
      <w:r>
        <w:rPr>
          <w:rFonts w:hint="eastAsia" w:ascii="Times New Roman" w:hAnsi="Times New Roman"/>
          <w:color w:val="000000" w:themeColor="text1"/>
          <w:szCs w:val="21"/>
          <w14:textFill>
            <w14:solidFill>
              <w14:schemeClr w14:val="tx1"/>
            </w14:solidFill>
          </w14:textFill>
        </w:rPr>
        <w:t>余场次，提供就业岗位</w:t>
      </w:r>
      <w:r>
        <w:rPr>
          <w:rFonts w:ascii="Times New Roman" w:hAnsi="Times New Roman"/>
          <w:color w:val="000000" w:themeColor="text1"/>
          <w:szCs w:val="21"/>
          <w14:textFill>
            <w14:solidFill>
              <w14:schemeClr w14:val="tx1"/>
            </w14:solidFill>
          </w14:textFill>
        </w:rPr>
        <w:t>102069</w:t>
      </w:r>
      <w:r>
        <w:rPr>
          <w:rFonts w:hint="eastAsia" w:ascii="Times New Roman" w:hAnsi="Times New Roman"/>
          <w:color w:val="000000" w:themeColor="text1"/>
          <w:szCs w:val="21"/>
          <w14:textFill>
            <w14:solidFill>
              <w14:schemeClr w14:val="tx1"/>
            </w14:solidFill>
          </w14:textFill>
        </w:rPr>
        <w:t>个</w:t>
      </w:r>
      <w:r>
        <w:rPr>
          <w:rFonts w:hint="eastAsia" w:ascii="Times New Roman" w:hAnsi="Times New Roman"/>
          <w:color w:val="000000"/>
          <w:szCs w:val="21"/>
        </w:rPr>
        <w:t>。</w:t>
      </w:r>
    </w:p>
    <w:p>
      <w:pPr>
        <w:pStyle w:val="141"/>
        <w:rPr>
          <w:color w:val="0F6FC6" w:themeColor="accent5"/>
          <w14:textFill>
            <w14:solidFill>
              <w14:schemeClr w14:val="accent5"/>
            </w14:solidFill>
          </w14:textFill>
        </w:rPr>
      </w:pPr>
      <w:bookmarkStart w:id="150" w:name="_Toc92706737"/>
      <w:r>
        <w:rPr>
          <w:rFonts w:hint="eastAsia"/>
          <w:color w:val="0F6FC6" w:themeColor="accent5"/>
          <w14:textFill>
            <w14:solidFill>
              <w14:schemeClr w14:val="accent5"/>
            </w14:solidFill>
          </w14:textFill>
        </w:rPr>
        <w:t>三、细化服务，精准指导促就业</w:t>
      </w:r>
      <w:bookmarkEnd w:id="150"/>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建立了就业创业指导导师工作制度，开展线上线下咨询与指导服务。组织职业生涯规划大赛、模拟求职大赛，举办简历制作、求职技巧、职场礼仪、就业安全、心理压力调适、网上求职与签约实战等讲座，提升学生职业素养与求职面试能力。利用校园网、微信公众号、班会、班级群、24365智慧就业等渠道载体，宣传推广就业资讯，宣传典型人物事迹，教育引导毕业生树立积极向上的职业观、就业观，面向基层，多渠道、多形式、尽早理性就业。</w:t>
      </w:r>
    </w:p>
    <w:p>
      <w:pPr>
        <w:pStyle w:val="141"/>
        <w:rPr>
          <w:rFonts w:ascii="Times New Roman" w:hAnsi="Times New Roman" w:cs="宋体"/>
          <w:color w:val="000000"/>
          <w:sz w:val="24"/>
          <w:szCs w:val="21"/>
        </w:rPr>
      </w:pPr>
      <w:bookmarkStart w:id="151" w:name="_Toc92706738"/>
      <w:r>
        <w:rPr>
          <w:rFonts w:hint="eastAsia"/>
          <w:color w:val="0F6FC6" w:themeColor="accent5"/>
          <w14:textFill>
            <w14:solidFill>
              <w14:schemeClr w14:val="accent5"/>
            </w14:solidFill>
          </w14:textFill>
        </w:rPr>
        <w:t>四、摸清底数，重点帮扶保就业</w:t>
      </w:r>
      <w:bookmarkEnd w:id="151"/>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进一步完善一对一帮扶机制，建立台账，“一人一档”“一人一策”分类跟踪指导。有针对性地为家庭经济困难、残疾、少数民族毕业生推送就业岗位，根据不同就业需求，分类开展就业指导，实行销号制管理，确实做好特殊群体毕业生就业帮扶。</w:t>
      </w:r>
    </w:p>
    <w:p>
      <w:pPr>
        <w:spacing w:line="360" w:lineRule="auto"/>
        <w:ind w:firstLine="480" w:firstLineChars="200"/>
        <w:jc w:val="both"/>
        <w:rPr>
          <w:rFonts w:ascii="Times New Roman" w:hAnsi="Times New Roman"/>
          <w:color w:val="000000"/>
          <w:szCs w:val="21"/>
        </w:rPr>
      </w:pPr>
      <w:r>
        <w:rPr>
          <w:rFonts w:hint="eastAsia" w:ascii="Times New Roman" w:hAnsi="Times New Roman"/>
          <w:color w:val="000000"/>
          <w:szCs w:val="21"/>
        </w:rPr>
        <w:t>持续做好离校未就业毕业生就业指导服务。对未就业的2021届毕业生，实行一对一的就业跟踪服务，密切掌握就业状况，分类做好精准化指导，帮助未就业毕业生尽早就业。</w:t>
      </w:r>
    </w:p>
    <w:p>
      <w:pPr>
        <w:pStyle w:val="141"/>
        <w:rPr>
          <w:rFonts w:ascii="Times New Roman" w:hAnsi="Times New Roman" w:cs="宋体"/>
          <w:color w:val="000000"/>
          <w:sz w:val="24"/>
          <w:szCs w:val="21"/>
        </w:rPr>
      </w:pPr>
      <w:bookmarkStart w:id="152" w:name="_Toc92706739"/>
      <w:r>
        <w:rPr>
          <w:rFonts w:hint="eastAsia"/>
          <w:color w:val="0F6FC6" w:themeColor="accent5"/>
          <w14:textFill>
            <w14:solidFill>
              <w14:schemeClr w14:val="accent5"/>
            </w14:solidFill>
          </w14:textFill>
        </w:rPr>
        <w:t>五、加强教育，创新创业</w:t>
      </w:r>
      <w:r>
        <w:rPr>
          <w:rFonts w:hint="eastAsia"/>
          <w:color w:val="0F6FC6" w:themeColor="accent5"/>
          <w:lang w:eastAsia="zh-CN"/>
          <w14:textFill>
            <w14:solidFill>
              <w14:schemeClr w14:val="accent5"/>
            </w14:solidFill>
          </w14:textFill>
        </w:rPr>
        <w:t>带</w:t>
      </w:r>
      <w:r>
        <w:rPr>
          <w:rFonts w:hint="eastAsia"/>
          <w:color w:val="0F6FC6" w:themeColor="accent5"/>
          <w14:textFill>
            <w14:solidFill>
              <w14:schemeClr w14:val="accent5"/>
            </w14:solidFill>
          </w14:textFill>
        </w:rPr>
        <w:t>就业</w:t>
      </w:r>
      <w:bookmarkEnd w:id="152"/>
    </w:p>
    <w:p>
      <w:pPr>
        <w:spacing w:line="360" w:lineRule="auto"/>
        <w:ind w:firstLine="480" w:firstLineChars="200"/>
        <w:jc w:val="both"/>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进一步加强创新创业导师队伍建设，优化创新创业孵化环境，规范日常管理，搭建</w:t>
      </w:r>
      <w:r>
        <w:rPr>
          <w:rFonts w:hint="eastAsia" w:ascii="Times New Roman" w:hAnsi="Times New Roman"/>
          <w:color w:val="000000" w:themeColor="text1"/>
          <w:szCs w:val="21"/>
          <w:lang w:eastAsia="zh-CN"/>
          <w14:textFill>
            <w14:solidFill>
              <w14:schemeClr w14:val="tx1"/>
            </w14:solidFill>
          </w14:textFill>
        </w:rPr>
        <w:t>政</w:t>
      </w:r>
      <w:r>
        <w:rPr>
          <w:rFonts w:hint="eastAsia" w:ascii="Times New Roman" w:hAnsi="Times New Roman"/>
          <w:color w:val="000000" w:themeColor="text1"/>
          <w:szCs w:val="21"/>
          <w14:textFill>
            <w14:solidFill>
              <w14:schemeClr w14:val="tx1"/>
            </w14:solidFill>
          </w14:textFill>
        </w:rPr>
        <w:t>校企合作共建实践平台，促进各项创新创业扶持政策落实落地。</w:t>
      </w:r>
      <w:r>
        <w:rPr>
          <w:rFonts w:hint="eastAsia" w:ascii="Times New Roman" w:hAnsi="Times New Roman"/>
          <w:color w:val="000000" w:themeColor="text1"/>
          <w:szCs w:val="21"/>
          <w:lang w:val="en-US" w:eastAsia="zh-CN"/>
          <w14:textFill>
            <w14:solidFill>
              <w14:schemeClr w14:val="tx1"/>
            </w14:solidFill>
          </w14:textFill>
        </w:rPr>
        <w:t>2021年，大学生创新创业园</w:t>
      </w:r>
      <w:r>
        <w:rPr>
          <w:rFonts w:hint="eastAsia" w:ascii="Times New Roman" w:hAnsi="Times New Roman"/>
          <w:color w:val="000000" w:themeColor="text1"/>
          <w:szCs w:val="21"/>
          <w14:textFill>
            <w14:solidFill>
              <w14:schemeClr w14:val="tx1"/>
            </w14:solidFill>
          </w14:textFill>
        </w:rPr>
        <w:t>在孵项目54个，参与创业人数190人，其中2021、2022届毕业生项目23个</w:t>
      </w:r>
      <w:r>
        <w:rPr>
          <w:rFonts w:hint="eastAsia" w:ascii="Times New Roman" w:hAnsi="Times New Roman"/>
          <w:color w:val="000000" w:themeColor="text1"/>
          <w:szCs w:val="21"/>
          <w:lang w:eastAsia="zh-CN"/>
          <w14:textFill>
            <w14:solidFill>
              <w14:schemeClr w14:val="tx1"/>
            </w14:solidFill>
          </w14:textFill>
        </w:rPr>
        <w:t>，获</w:t>
      </w:r>
      <w:r>
        <w:rPr>
          <w:rFonts w:hint="eastAsia" w:ascii="Times New Roman" w:hAnsi="Times New Roman"/>
          <w:color w:val="000000" w:themeColor="text1"/>
          <w:szCs w:val="21"/>
          <w14:textFill>
            <w14:solidFill>
              <w14:schemeClr w14:val="tx1"/>
            </w14:solidFill>
          </w14:textFill>
        </w:rPr>
        <w:t>软件著作权</w:t>
      </w:r>
      <w:r>
        <w:rPr>
          <w:rFonts w:hint="eastAsia" w:ascii="Times New Roman" w:hAnsi="Times New Roman"/>
          <w:color w:val="000000" w:themeColor="text1"/>
          <w:szCs w:val="21"/>
          <w:lang w:val="en-US" w:eastAsia="zh-CN"/>
          <w14:textFill>
            <w14:solidFill>
              <w14:schemeClr w14:val="tx1"/>
            </w14:solidFill>
          </w14:textFill>
        </w:rPr>
        <w:t>6</w:t>
      </w:r>
      <w:r>
        <w:rPr>
          <w:rFonts w:hint="eastAsia" w:ascii="Times New Roman" w:hAnsi="Times New Roman"/>
          <w:color w:val="000000" w:themeColor="text1"/>
          <w:szCs w:val="21"/>
          <w14:textFill>
            <w14:solidFill>
              <w14:schemeClr w14:val="tx1"/>
            </w14:solidFill>
          </w14:textFill>
        </w:rPr>
        <w:t>项，科技成果登记1项，实用新型专利1项</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获批“荆门市大学生创业孵化示范基地”“湖北省大学生创业孵化示范基地”</w:t>
      </w:r>
      <w:r>
        <w:rPr>
          <w:rFonts w:hint="eastAsia" w:ascii="Times New Roman" w:hAnsi="Times New Roman"/>
          <w:color w:val="000000" w:themeColor="text1"/>
          <w:szCs w:val="21"/>
          <w:lang w:eastAsia="zh-CN"/>
          <w14:textFill>
            <w14:solidFill>
              <w14:schemeClr w14:val="tx1"/>
            </w14:solidFill>
          </w14:textFill>
        </w:rPr>
        <w:t>，成功申报</w:t>
      </w:r>
      <w:r>
        <w:rPr>
          <w:rFonts w:hint="eastAsia" w:ascii="Times New Roman" w:hAnsi="Times New Roman"/>
          <w:color w:val="000000" w:themeColor="text1"/>
          <w:szCs w:val="21"/>
          <w14:textFill>
            <w14:solidFill>
              <w14:schemeClr w14:val="tx1"/>
            </w14:solidFill>
          </w14:textFill>
        </w:rPr>
        <w:t>“国家备案众创空间”并通过了专家评审。学生参加各类创新创业大赛成绩</w:t>
      </w:r>
      <w:r>
        <w:rPr>
          <w:rFonts w:hint="eastAsia" w:ascii="Times New Roman" w:hAnsi="Times New Roman"/>
          <w:color w:val="000000" w:themeColor="text1"/>
          <w:szCs w:val="21"/>
          <w:lang w:eastAsia="zh-CN"/>
          <w14:textFill>
            <w14:solidFill>
              <w14:schemeClr w14:val="tx1"/>
            </w14:solidFill>
          </w14:textFill>
        </w:rPr>
        <w:t>显著，</w:t>
      </w:r>
      <w:r>
        <w:rPr>
          <w:rFonts w:hint="eastAsia" w:ascii="Times New Roman" w:hAnsi="Times New Roman"/>
          <w:color w:val="000000" w:themeColor="text1"/>
          <w:szCs w:val="21"/>
          <w14:textFill>
            <w14:solidFill>
              <w14:schemeClr w14:val="tx1"/>
            </w14:solidFill>
          </w14:textFill>
        </w:rPr>
        <w:t>在第七届</w:t>
      </w:r>
      <w:r>
        <w:rPr>
          <w:rFonts w:hint="eastAsia" w:ascii="Times New Roman" w:hAnsi="Times New Roman"/>
          <w:color w:val="000000" w:themeColor="text1"/>
          <w:szCs w:val="21"/>
          <w:lang w:eastAsia="zh-CN"/>
          <w14:textFill>
            <w14:solidFill>
              <w14:schemeClr w14:val="tx1"/>
            </w14:solidFill>
          </w14:textFill>
        </w:rPr>
        <w:t>中国</w:t>
      </w:r>
      <w:r>
        <w:rPr>
          <w:rFonts w:hint="eastAsia" w:ascii="Times New Roman" w:hAnsi="Times New Roman"/>
          <w:color w:val="000000" w:themeColor="text1"/>
          <w:szCs w:val="21"/>
          <w14:textFill>
            <w14:solidFill>
              <w14:schemeClr w14:val="tx1"/>
            </w14:solidFill>
          </w14:textFill>
        </w:rPr>
        <w:t>国际“互联网+”大学生创新创业大赛</w:t>
      </w:r>
      <w:r>
        <w:rPr>
          <w:rFonts w:hint="eastAsia" w:ascii="Times New Roman" w:hAnsi="Times New Roman"/>
          <w:color w:val="000000" w:themeColor="text1"/>
          <w:szCs w:val="21"/>
          <w:lang w:val="en-US" w:eastAsia="zh-CN"/>
          <w14:textFill>
            <w14:solidFill>
              <w14:schemeClr w14:val="tx1"/>
            </w14:solidFill>
          </w14:textFill>
        </w:rPr>
        <w:t>湖北省复赛</w:t>
      </w:r>
      <w:r>
        <w:rPr>
          <w:rFonts w:hint="eastAsia" w:ascii="Times New Roman" w:hAnsi="Times New Roman"/>
          <w:color w:val="000000" w:themeColor="text1"/>
          <w:szCs w:val="21"/>
          <w14:textFill>
            <w14:solidFill>
              <w14:schemeClr w14:val="tx1"/>
            </w14:solidFill>
          </w14:textFill>
        </w:rPr>
        <w:t>中荣获2</w:t>
      </w:r>
      <w:r>
        <w:rPr>
          <w:rFonts w:hint="eastAsia" w:ascii="Times New Roman" w:hAnsi="Times New Roman"/>
          <w:color w:val="000000" w:themeColor="text1"/>
          <w:szCs w:val="21"/>
          <w:lang w:eastAsia="zh-CN"/>
          <w14:textFill>
            <w14:solidFill>
              <w14:schemeClr w14:val="tx1"/>
            </w14:solidFill>
          </w14:textFill>
        </w:rPr>
        <w:t>项</w:t>
      </w:r>
      <w:r>
        <w:rPr>
          <w:rFonts w:hint="eastAsia" w:ascii="Times New Roman" w:hAnsi="Times New Roman"/>
          <w:color w:val="000000" w:themeColor="text1"/>
          <w:szCs w:val="21"/>
          <w14:textFill>
            <w14:solidFill>
              <w14:schemeClr w14:val="tx1"/>
            </w14:solidFill>
          </w14:textFill>
        </w:rPr>
        <w:t>银</w:t>
      </w:r>
      <w:r>
        <w:rPr>
          <w:rFonts w:hint="eastAsia" w:ascii="Times New Roman" w:hAnsi="Times New Roman"/>
          <w:color w:val="000000" w:themeColor="text1"/>
          <w:szCs w:val="21"/>
          <w:lang w:eastAsia="zh-CN"/>
          <w14:textFill>
            <w14:solidFill>
              <w14:schemeClr w14:val="tx1"/>
            </w14:solidFill>
          </w14:textFill>
        </w:rPr>
        <w:t>奖、</w:t>
      </w:r>
      <w:r>
        <w:rPr>
          <w:rFonts w:hint="eastAsia" w:ascii="Times New Roman" w:hAnsi="Times New Roman"/>
          <w:color w:val="000000" w:themeColor="text1"/>
          <w:szCs w:val="21"/>
          <w14:textFill>
            <w14:solidFill>
              <w14:schemeClr w14:val="tx1"/>
            </w14:solidFill>
          </w14:textFill>
        </w:rPr>
        <w:t>2</w:t>
      </w:r>
      <w:r>
        <w:rPr>
          <w:rFonts w:hint="eastAsia" w:ascii="Times New Roman" w:hAnsi="Times New Roman"/>
          <w:color w:val="000000" w:themeColor="text1"/>
          <w:szCs w:val="21"/>
          <w:lang w:eastAsia="zh-CN"/>
          <w14:textFill>
            <w14:solidFill>
              <w14:schemeClr w14:val="tx1"/>
            </w14:solidFill>
          </w14:textFill>
        </w:rPr>
        <w:t>项</w:t>
      </w:r>
      <w:r>
        <w:rPr>
          <w:rFonts w:hint="eastAsia" w:ascii="Times New Roman" w:hAnsi="Times New Roman"/>
          <w:color w:val="000000" w:themeColor="text1"/>
          <w:szCs w:val="21"/>
          <w14:textFill>
            <w14:solidFill>
              <w14:schemeClr w14:val="tx1"/>
            </w14:solidFill>
          </w14:textFill>
        </w:rPr>
        <w:t>铜</w:t>
      </w:r>
      <w:r>
        <w:rPr>
          <w:rFonts w:hint="eastAsia" w:ascii="Times New Roman" w:hAnsi="Times New Roman"/>
          <w:color w:val="000000" w:themeColor="text1"/>
          <w:szCs w:val="21"/>
          <w:lang w:eastAsia="zh-CN"/>
          <w14:textFill>
            <w14:solidFill>
              <w14:schemeClr w14:val="tx1"/>
            </w14:solidFill>
          </w14:textFill>
        </w:rPr>
        <w:t>奖</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eastAsia="zh-CN"/>
          <w14:textFill>
            <w14:solidFill>
              <w14:schemeClr w14:val="tx1"/>
            </w14:solidFill>
          </w14:textFill>
        </w:rPr>
        <w:t>学校</w:t>
      </w:r>
      <w:r>
        <w:rPr>
          <w:rFonts w:hint="eastAsia" w:ascii="Times New Roman" w:hAnsi="Times New Roman"/>
          <w:color w:val="000000" w:themeColor="text1"/>
          <w:szCs w:val="21"/>
          <w14:textFill>
            <w14:solidFill>
              <w14:schemeClr w14:val="tx1"/>
            </w14:solidFill>
          </w14:textFill>
        </w:rPr>
        <w:t>获“优秀组织奖”</w:t>
      </w:r>
      <w:r>
        <w:rPr>
          <w:rFonts w:hint="eastAsia" w:ascii="Times New Roman" w:hAnsi="Times New Roman"/>
          <w:color w:val="000000" w:themeColor="text1"/>
          <w:szCs w:val="21"/>
          <w:lang w:eastAsia="zh-CN"/>
          <w14:textFill>
            <w14:solidFill>
              <w14:schemeClr w14:val="tx1"/>
            </w14:solidFill>
          </w14:textFill>
        </w:rPr>
        <w:t>；在</w:t>
      </w:r>
      <w:r>
        <w:rPr>
          <w:rFonts w:hint="eastAsia" w:ascii="Times New Roman" w:hAnsi="Times New Roman"/>
          <w:color w:val="000000" w:themeColor="text1"/>
          <w:szCs w:val="21"/>
          <w14:textFill>
            <w14:solidFill>
              <w14:schemeClr w14:val="tx1"/>
            </w14:solidFill>
          </w14:textFill>
        </w:rPr>
        <w:t>中华职业教育大学生创新创业大赛、“宜荆荆恩”大学生创新创业大赛等赛事</w:t>
      </w:r>
      <w:r>
        <w:rPr>
          <w:rFonts w:hint="eastAsia" w:ascii="Times New Roman" w:hAnsi="Times New Roman"/>
          <w:color w:val="000000" w:themeColor="text1"/>
          <w:szCs w:val="21"/>
          <w:lang w:eastAsia="zh-CN"/>
          <w14:textFill>
            <w14:solidFill>
              <w14:schemeClr w14:val="tx1"/>
            </w14:solidFill>
          </w14:textFill>
        </w:rPr>
        <w:t>中</w:t>
      </w:r>
      <w:r>
        <w:rPr>
          <w:rFonts w:hint="eastAsia" w:ascii="Times New Roman" w:hAnsi="Times New Roman"/>
          <w:color w:val="000000" w:themeColor="text1"/>
          <w:szCs w:val="21"/>
          <w14:textFill>
            <w14:solidFill>
              <w14:schemeClr w14:val="tx1"/>
            </w14:solidFill>
          </w14:textFill>
        </w:rPr>
        <w:t>分获金、银</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铜奖共八项。</w:t>
      </w:r>
      <w:bookmarkStart w:id="388" w:name="_GoBack"/>
      <w:bookmarkEnd w:id="388"/>
    </w:p>
    <w:p>
      <w:pPr>
        <w:spacing w:line="360" w:lineRule="auto"/>
        <w:ind w:firstLine="480" w:firstLineChars="200"/>
        <w:jc w:val="both"/>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br w:type="page"/>
      </w:r>
    </w:p>
    <w:p>
      <w:pPr>
        <w:spacing w:line="360" w:lineRule="auto"/>
        <w:jc w:val="both"/>
        <w:rPr>
          <w:rFonts w:ascii="Times New Roman" w:hAnsi="Times New Roman"/>
          <w:b/>
          <w:bCs/>
          <w:color w:val="0F6FC6"/>
        </w:rPr>
      </w:pPr>
      <w:r>
        <w:rPr>
          <w:rFonts w:eastAsia="黑体"/>
          <w:b/>
          <w:sz w:val="36"/>
          <w:szCs w:val="36"/>
        </w:rPr>
        <mc:AlternateContent>
          <mc:Choice Requires="wps">
            <w:drawing>
              <wp:anchor distT="0" distB="0" distL="114300" distR="114300" simplePos="0" relativeHeight="251675648" behindDoc="0" locked="0" layoutInCell="1" allowOverlap="1">
                <wp:simplePos x="0" y="0"/>
                <wp:positionH relativeFrom="page">
                  <wp:posOffset>25400</wp:posOffset>
                </wp:positionH>
                <wp:positionV relativeFrom="paragraph">
                  <wp:posOffset>1195070</wp:posOffset>
                </wp:positionV>
                <wp:extent cx="7560310" cy="2343150"/>
                <wp:effectExtent l="0" t="0" r="0" b="0"/>
                <wp:wrapNone/>
                <wp:docPr id="551" name="文本框 551"/>
                <wp:cNvGraphicFramePr/>
                <a:graphic xmlns:a="http://schemas.openxmlformats.org/drawingml/2006/main">
                  <a:graphicData uri="http://schemas.microsoft.com/office/word/2010/wordprocessingShape">
                    <wps:wsp>
                      <wps:cNvSpPr txBox="1"/>
                      <wps:spPr bwMode="auto">
                        <a:xfrm>
                          <a:off x="0" y="0"/>
                          <a:ext cx="7560310" cy="2343150"/>
                        </a:xfrm>
                        <a:prstGeom prst="rect">
                          <a:avLst/>
                        </a:prstGeom>
                        <a:noFill/>
                        <a:ln>
                          <a:noFill/>
                        </a:ln>
                      </wps:spPr>
                      <wps:txb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第四篇</w:t>
                            </w:r>
                          </w:p>
                          <w:p>
                            <w:pPr>
                              <w:jc w:val="center"/>
                              <w:rPr>
                                <w:rFonts w:ascii="微软雅黑" w:hAnsi="微软雅黑" w:eastAsia="微软雅黑"/>
                                <w:b/>
                                <w:color w:val="4C659B"/>
                                <w:sz w:val="44"/>
                                <w:szCs w:val="36"/>
                              </w:rPr>
                            </w:pPr>
                            <w:r>
                              <w:rPr>
                                <w:rFonts w:hint="eastAsia" w:ascii="微软雅黑" w:hAnsi="微软雅黑" w:eastAsia="微软雅黑"/>
                                <w:b/>
                                <w:color w:val="0F6FC6"/>
                                <w:sz w:val="52"/>
                                <w:szCs w:val="52"/>
                              </w:rPr>
                              <w:t>就业质量相关分析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pt;margin-top:94.1pt;height:184.5pt;width:595.3pt;mso-position-horizontal-relative:page;z-index:251675648;mso-width-relative:page;mso-height-relative:page;" filled="f" stroked="f" coordsize="21600,21600" o:gfxdata="UEsDBAoAAAAAAIdO4kAAAAAAAAAAAAAAAAAEAAAAZHJzL1BLAwQUAAAACACHTuJAmB/9PdcAAAAK&#10;AQAADwAAAGRycy9kb3ducmV2LnhtbE2PwU7DMBBE70j8g7VI3KidKClpiNMDiCuIFpC4beNtEhGv&#10;o9htwt/jnuA4O6uZN9V2sYM40+R7xxqSlQJB3DjTc6vhff98V4DwAdng4Jg0/JCHbX19VWFp3Mxv&#10;dN6FVsQQ9iVq6EIYSyl905FFv3IjcfSObrIYopxaaSacY7gdZKrUWlrsOTZ0ONJjR8337mQ1fLwc&#10;vz4z9do+2Xyc3aIk243U+vYmUQ8gAi3h7xku+BEd6sh0cCc2XgwasrgkxHNRpCAufrLJ1iAOGvL8&#10;PgVZV/L/hPoXUEsDBBQAAAAIAIdO4kAQcOVGAAIAAOoDAAAOAAAAZHJzL2Uyb0RvYy54bWytU0uO&#10;EzEQ3SNxB8t70ul8ZqCVzgiIBiHxkwYO4LjdaUttlyk76Q4HgBuwYsOec+UclN1JCMNmFmysclX5&#10;Vb1X5cVNb1q2U+g12JLnozFnykqotN2U/NPH2ydPOfNB2Eq0YFXJ98rzm+XjR4vOFWoCDbSVQkYg&#10;1hedK3kTgiuyzMtGGeFH4JSlYA1oRKArbrIKRUfops0m4/FV1gFWDkEq78m7GoL8iIgPAYS61lKt&#10;QG6NsmFARdWKQJR8o53ny9RtXSsZ3te1V4G1JSemIZ1UhOx1PLPlQhQbFK7R8tiCeEgL9zgZoS0V&#10;PUOtRBBsi/ofKKMlgoc6jCSYbCCSFCEW+fieNneNcCpxIam9O4vu/x+sfLf7gExXJZ/Pc86sMDTy&#10;w/dvhx+/Dj+/sugkiTrnC8q8c5Qb+hfQ0+Kc/D46191bqOil2AZIOvQ1mqgHMWSUTXLvz3KrPjBJ&#10;zuv51XiaU0hSbDKdTfN5GkgmitNzhz68UmBYNEqONM8EL3ZvfKDGKPWUEqtZuNVtm2ba2r8clBg9&#10;WWQSOx44hX7dH+mtodoTEYRhReiDkNEAfuGso/Uouf+8Fag4a19b0v9ZPpvFfUqX2fx6Qhe8jKwv&#10;I8JKgip54GwwX4ZhB7cO9aahSnmiZeE5CVjrRC22OnR17JtWIDE+rmvcsct7yvrzR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f/T3XAAAACgEAAA8AAAAAAAAAAQAgAAAAIgAAAGRycy9kb3du&#10;cmV2LnhtbFBLAQIUABQAAAAIAIdO4kAQcOVGAAIAAOoDAAAOAAAAAAAAAAEAIAAAACYBAABkcnMv&#10;ZTJvRG9jLnhtbFBLBQYAAAAABgAGAFkBAACYBQAAAAA=&#10;">
                <v:fill on="f" focussize="0,0"/>
                <v:stroke on="f"/>
                <v:imagedata o:title=""/>
                <o:lock v:ext="edit" aspectratio="f"/>
                <v:textbo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第四篇</w:t>
                      </w:r>
                    </w:p>
                    <w:p>
                      <w:pPr>
                        <w:jc w:val="center"/>
                        <w:rPr>
                          <w:rFonts w:ascii="微软雅黑" w:hAnsi="微软雅黑" w:eastAsia="微软雅黑"/>
                          <w:b/>
                          <w:color w:val="4C659B"/>
                          <w:sz w:val="44"/>
                          <w:szCs w:val="36"/>
                        </w:rPr>
                      </w:pPr>
                      <w:r>
                        <w:rPr>
                          <w:rFonts w:hint="eastAsia" w:ascii="微软雅黑" w:hAnsi="微软雅黑" w:eastAsia="微软雅黑"/>
                          <w:b/>
                          <w:color w:val="0F6FC6"/>
                          <w:sz w:val="52"/>
                          <w:szCs w:val="52"/>
                        </w:rPr>
                        <w:t>就业质量相关分析</w:t>
                      </w:r>
                    </w:p>
                  </w:txbxContent>
                </v:textbox>
              </v:shape>
            </w:pict>
          </mc:Fallback>
        </mc:AlternateContent>
      </w:r>
      <w:r>
        <w:rPr>
          <w:b/>
          <w:sz w:val="36"/>
        </w:rPr>
        <w:drawing>
          <wp:anchor distT="0" distB="0" distL="114300" distR="114300" simplePos="0" relativeHeight="251674624" behindDoc="1" locked="0" layoutInCell="1" allowOverlap="1">
            <wp:simplePos x="0" y="0"/>
            <wp:positionH relativeFrom="page">
              <wp:posOffset>28575</wp:posOffset>
            </wp:positionH>
            <wp:positionV relativeFrom="paragraph">
              <wp:posOffset>-905510</wp:posOffset>
            </wp:positionV>
            <wp:extent cx="7545705" cy="10235565"/>
            <wp:effectExtent l="0" t="0" r="0" b="0"/>
            <wp:wrapNone/>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5705" cy="10235441"/>
                    </a:xfrm>
                    <a:prstGeom prst="rect">
                      <a:avLst/>
                    </a:prstGeom>
                  </pic:spPr>
                </pic:pic>
              </a:graphicData>
            </a:graphic>
          </wp:anchor>
        </w:drawing>
      </w:r>
      <w:r>
        <w:rPr>
          <w:rFonts w:ascii="Times New Roman" w:hAnsi="Times New Roman"/>
          <w:b/>
          <w:bCs/>
          <w:color w:val="0F6FC6"/>
        </w:rPr>
        <w:br w:type="page"/>
      </w:r>
    </w:p>
    <w:bookmarkEnd w:id="146"/>
    <w:bookmarkEnd w:id="147"/>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153" w:name="_Toc80114327"/>
      <w:bookmarkStart w:id="154" w:name="_Toc81325052"/>
      <w:bookmarkStart w:id="155" w:name="_Toc48147182"/>
      <w:bookmarkStart w:id="156" w:name="_Toc92706740"/>
      <w:bookmarkStart w:id="157" w:name="_Toc80114337"/>
      <w:bookmarkStart w:id="158" w:name="_Toc82010534"/>
      <w:bookmarkStart w:id="159" w:name="_Toc16673841"/>
      <w:bookmarkStart w:id="160" w:name="_Toc443997333"/>
      <w:bookmarkStart w:id="161" w:name="_Toc443997637"/>
      <w:bookmarkStart w:id="162" w:name="_Toc487789923"/>
      <w:bookmarkStart w:id="163" w:name="_Toc430613454"/>
      <w:bookmarkStart w:id="164" w:name="_Toc443998764"/>
      <w:bookmarkStart w:id="165" w:name="_Toc437372066"/>
      <w:bookmarkStart w:id="166" w:name="_Toc437444210"/>
      <w:bookmarkStart w:id="167" w:name="_Toc444162199"/>
      <w:bookmarkStart w:id="168" w:name="_Toc487790104"/>
      <w:bookmarkStart w:id="169" w:name="_Toc496017592"/>
      <w:bookmarkStart w:id="170" w:name="_Toc17272003"/>
      <w:r>
        <w:rPr>
          <w:rFonts w:hint="eastAsia" w:ascii="Calibri" w:hAnsi="Calibri" w:eastAsia="黑体"/>
          <w:b/>
          <w:caps/>
          <w:color w:val="FFFFFF"/>
          <w:sz w:val="32"/>
          <w:szCs w:val="32"/>
        </w:rPr>
        <w:t>第四</w:t>
      </w:r>
      <w:r>
        <w:rPr>
          <w:rFonts w:ascii="Calibri" w:hAnsi="Calibri" w:eastAsia="黑体"/>
          <w:b/>
          <w:caps/>
          <w:color w:val="FFFFFF"/>
          <w:sz w:val="32"/>
          <w:szCs w:val="32"/>
        </w:rPr>
        <w:t>篇：</w:t>
      </w:r>
      <w:r>
        <w:rPr>
          <w:rFonts w:hint="eastAsia" w:ascii="Calibri" w:hAnsi="Calibri" w:eastAsia="黑体"/>
          <w:b/>
          <w:caps/>
          <w:color w:val="FFFFFF"/>
          <w:sz w:val="32"/>
          <w:szCs w:val="32"/>
        </w:rPr>
        <w:t>就业质量相关分析</w:t>
      </w:r>
      <w:bookmarkEnd w:id="153"/>
      <w:bookmarkEnd w:id="154"/>
      <w:bookmarkEnd w:id="155"/>
      <w:bookmarkEnd w:id="156"/>
    </w:p>
    <w:p>
      <w:pPr>
        <w:pStyle w:val="178"/>
        <w:spacing w:before="156"/>
        <w:ind w:firstLine="480"/>
      </w:pPr>
      <w:bookmarkStart w:id="171" w:name="_Toc487790084"/>
      <w:bookmarkStart w:id="172" w:name="_Toc496017576"/>
      <w:bookmarkStart w:id="173" w:name="_Toc487789903"/>
      <w:r>
        <w:rPr>
          <w:rFonts w:hint="eastAsia"/>
        </w:rPr>
        <w:t>高校毕业生就业质量是人才培养质量的核心内容，以学生为评估主体，构建多维指标体系，可以全面了解和掌握毕业生岗位适配性、就业质量及职业发展情况，为学校改进和完善教育教学和人才培养工作提供参考。其中，毕业生对自身就业质量评价指标包括就业机会充分情况、目前</w:t>
      </w:r>
      <w:r>
        <w:t>工作</w:t>
      </w:r>
      <w:r>
        <w:rPr>
          <w:rFonts w:hint="eastAsia"/>
        </w:rPr>
        <w:t>与所学专业的对口情况、对目前工作的满意度、目前</w:t>
      </w:r>
      <w:r>
        <w:t>工作与自身职业期待</w:t>
      </w:r>
      <w:r>
        <w:rPr>
          <w:rFonts w:hint="eastAsia"/>
        </w:rPr>
        <w:t>的</w:t>
      </w:r>
      <w:r>
        <w:t>吻合情况</w:t>
      </w:r>
      <w:r>
        <w:rPr>
          <w:rFonts w:hint="eastAsia"/>
        </w:rPr>
        <w:t>、工作稳定性情况。</w:t>
      </w:r>
    </w:p>
    <w:p>
      <w:pPr>
        <w:pStyle w:val="141"/>
        <w:rPr>
          <w:color w:val="0F6FC6" w:themeColor="accent5"/>
          <w14:textFill>
            <w14:solidFill>
              <w14:schemeClr w14:val="accent5"/>
            </w14:solidFill>
          </w14:textFill>
        </w:rPr>
      </w:pPr>
      <w:bookmarkStart w:id="174" w:name="_Toc92706741"/>
      <w:bookmarkStart w:id="175" w:name="_Toc81325053"/>
      <w:r>
        <w:rPr>
          <w:rFonts w:hint="eastAsia"/>
          <w:color w:val="0F6FC6" w:themeColor="accent5"/>
          <w14:textFill>
            <w14:solidFill>
              <w14:schemeClr w14:val="accent5"/>
            </w14:solidFill>
          </w14:textFill>
        </w:rPr>
        <w:t>一</w:t>
      </w:r>
      <w:r>
        <w:rPr>
          <w:color w:val="0F6FC6" w:themeColor="accent5"/>
          <w14:textFill>
            <w14:solidFill>
              <w14:schemeClr w14:val="accent5"/>
            </w14:solidFill>
          </w14:textFill>
        </w:rPr>
        <w:t>、本科毕业生</w:t>
      </w:r>
      <w:bookmarkEnd w:id="171"/>
      <w:bookmarkEnd w:id="172"/>
      <w:bookmarkEnd w:id="173"/>
      <w:bookmarkEnd w:id="174"/>
      <w:bookmarkEnd w:id="175"/>
    </w:p>
    <w:p>
      <w:pPr>
        <w:pStyle w:val="151"/>
        <w:rPr>
          <w:color w:val="0F6FC6" w:themeColor="accent5"/>
          <w14:textFill>
            <w14:solidFill>
              <w14:schemeClr w14:val="accent5"/>
            </w14:solidFill>
          </w14:textFill>
        </w:rPr>
      </w:pPr>
      <w:bookmarkStart w:id="176" w:name="_Toc81325055"/>
      <w:bookmarkStart w:id="177" w:name="_Toc92706742"/>
      <w:bookmarkStart w:id="178" w:name="_Toc32496359"/>
      <w:bookmarkStart w:id="179" w:name="_Toc70583185"/>
      <w:bookmarkStart w:id="180" w:name="_Toc496017578"/>
      <w:bookmarkStart w:id="181" w:name="_Toc487789905"/>
      <w:bookmarkStart w:id="182" w:name="_Toc487790086"/>
      <w:r>
        <w:rPr>
          <w:rFonts w:hint="eastAsia"/>
          <w:color w:val="0F6FC6" w:themeColor="accent5"/>
          <w14:textFill>
            <w14:solidFill>
              <w14:schemeClr w14:val="accent5"/>
            </w14:solidFill>
          </w14:textFill>
        </w:rPr>
        <w:t>（一）就业机会充分度</w:t>
      </w:r>
      <w:bookmarkEnd w:id="176"/>
      <w:bookmarkEnd w:id="177"/>
      <w:bookmarkEnd w:id="178"/>
      <w:bookmarkEnd w:id="179"/>
    </w:p>
    <w:p>
      <w:pPr>
        <w:pStyle w:val="178"/>
        <w:spacing w:before="156"/>
        <w:ind w:firstLine="480"/>
      </w:pPr>
      <w:bookmarkStart w:id="183" w:name="_Toc509483442"/>
      <w:bookmarkStart w:id="184" w:name="_Toc509389322"/>
      <w:r>
        <w:rPr>
          <w:rFonts w:hint="eastAsia"/>
        </w:rPr>
        <w:t>就业机会充分度是指毕业生所学专业在社会市场上就业机会的多少，可以作为衡量专业结构设置和培养方案与社会需求是否相契合的影响因素。</w:t>
      </w:r>
    </w:p>
    <w:p>
      <w:pPr>
        <w:pStyle w:val="135"/>
        <w:spacing w:before="156" w:beforeLines="50"/>
        <w:ind w:firstLine="482"/>
      </w:pPr>
      <w:r>
        <w:rPr>
          <w:rFonts w:hint="eastAsia"/>
          <w:b/>
          <w:bCs/>
          <w:color w:val="0F6FC6" w:themeColor="accent5"/>
          <w14:textFill>
            <w14:solidFill>
              <w14:schemeClr w14:val="accent5"/>
            </w14:solidFill>
          </w14:textFill>
        </w:rPr>
        <w:t>总体就业机会充分度</w:t>
      </w:r>
      <w:r>
        <w:rPr>
          <w:b/>
          <w:bCs/>
          <w:color w:val="0F6FC6" w:themeColor="accent5"/>
          <w14:textFill>
            <w14:solidFill>
              <w14:schemeClr w14:val="accent5"/>
            </w14:solidFill>
          </w14:textFill>
        </w:rPr>
        <w:t>：</w:t>
      </w:r>
      <w:r>
        <w:rPr>
          <w:rFonts w:hint="eastAsia"/>
        </w:rPr>
        <w:t>51.34%</w:t>
      </w:r>
      <w:r>
        <w:t>的</w:t>
      </w:r>
      <w:r>
        <w:rPr>
          <w:rFonts w:hint="eastAsia"/>
        </w:rPr>
        <w:t>本科毕业生</w:t>
      </w:r>
      <w:r>
        <w:t>认为所学专业</w:t>
      </w:r>
      <w:r>
        <w:rPr>
          <w:rFonts w:hint="eastAsia"/>
          <w:color w:val="auto"/>
        </w:rPr>
        <w:t>的</w:t>
      </w:r>
      <w:r>
        <w:rPr>
          <w:color w:val="auto"/>
        </w:rPr>
        <w:t>就业机会较多，</w:t>
      </w:r>
      <w:r>
        <w:rPr>
          <w:rFonts w:hint="eastAsia"/>
          <w:color w:val="auto"/>
        </w:rPr>
        <w:t>10.46%的毕业生认为所学专业的就业机会较少</w:t>
      </w:r>
      <w:r>
        <w:t>。</w:t>
      </w:r>
    </w:p>
    <w:p>
      <w:pPr>
        <w:spacing w:before="156" w:beforeLines="50" w:after="156" w:afterLines="50" w:line="360" w:lineRule="auto"/>
        <w:ind w:firstLine="480" w:firstLineChars="200"/>
        <w:jc w:val="center"/>
        <w:rPr>
          <w:rFonts w:ascii="Times New Roman" w:hAnsi="Times New Roman"/>
          <w:szCs w:val="21"/>
          <w:lang w:val="zh-CN"/>
        </w:rPr>
      </w:pPr>
      <w:r>
        <w:drawing>
          <wp:inline distT="0" distB="0" distL="0" distR="0">
            <wp:extent cx="5342890" cy="1914525"/>
            <wp:effectExtent l="0" t="0" r="0" b="0"/>
            <wp:docPr id="8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before="156" w:beforeLines="50" w:after="156" w:afterLines="50" w:line="360" w:lineRule="auto"/>
        <w:jc w:val="center"/>
        <w:rPr>
          <w:rFonts w:ascii="Times New Roman" w:hAnsi="Times New Roman" w:eastAsia="黑体"/>
          <w:b/>
          <w:caps/>
          <w:color w:val="0F6FC6" w:themeColor="accent5"/>
          <w:sz w:val="21"/>
          <w:szCs w:val="36"/>
          <w:lang w:val="zh-CN"/>
          <w14:textFill>
            <w14:solidFill>
              <w14:schemeClr w14:val="accent5"/>
            </w14:solidFill>
          </w14:textFill>
        </w:rPr>
      </w:pPr>
      <w:r>
        <w:rPr>
          <w:rStyle w:val="181"/>
        </w:rPr>
        <w:t xml:space="preserve">图4- </w:t>
      </w:r>
      <w:r>
        <w:rPr>
          <w:rStyle w:val="181"/>
          <w:b w:val="0"/>
        </w:rPr>
        <w:fldChar w:fldCharType="begin"/>
      </w:r>
      <w:r>
        <w:rPr>
          <w:rStyle w:val="181"/>
        </w:rPr>
        <w:instrText xml:space="preserve"> SEQ 图3- \* ARABIC </w:instrText>
      </w:r>
      <w:r>
        <w:rPr>
          <w:rStyle w:val="181"/>
          <w:b w:val="0"/>
        </w:rPr>
        <w:fldChar w:fldCharType="separate"/>
      </w:r>
      <w:r>
        <w:rPr>
          <w:rStyle w:val="181"/>
        </w:rPr>
        <w:t>1</w:t>
      </w:r>
      <w:r>
        <w:rPr>
          <w:rStyle w:val="181"/>
          <w:b w:val="0"/>
        </w:rPr>
        <w:fldChar w:fldCharType="end"/>
      </w:r>
      <w:r>
        <w:rPr>
          <w:rFonts w:hint="eastAsia" w:ascii="Times New Roman" w:hAnsi="Times New Roman" w:eastAsia="黑体"/>
          <w:bCs/>
          <w:caps/>
          <w:color w:val="0F6FC6" w:themeColor="accent5"/>
          <w:sz w:val="21"/>
          <w:szCs w:val="36"/>
          <w:lang w:val="zh-CN"/>
          <w14:textFill>
            <w14:solidFill>
              <w14:schemeClr w14:val="accent5"/>
            </w14:solidFill>
          </w14:textFill>
        </w:rPr>
        <w:t xml:space="preserve"> </w:t>
      </w:r>
      <w:r>
        <w:rPr>
          <w:rFonts w:hint="eastAsia" w:ascii="Times New Roman" w:hAnsi="Times New Roman" w:eastAsia="黑体"/>
          <w:b/>
          <w:caps/>
          <w:color w:val="0F6FC6" w:themeColor="accent5"/>
          <w:sz w:val="21"/>
          <w:szCs w:val="36"/>
          <w:lang w:val="zh-CN"/>
          <w14:textFill>
            <w14:solidFill>
              <w14:schemeClr w14:val="accent5"/>
            </w14:solidFill>
          </w14:textFill>
        </w:rPr>
        <w:t xml:space="preserve"> </w:t>
      </w:r>
      <w:bookmarkEnd w:id="183"/>
      <w:bookmarkEnd w:id="184"/>
      <w:r>
        <w:rPr>
          <w:rFonts w:hint="eastAsia" w:ascii="Times New Roman" w:hAnsi="Times New Roman" w:eastAsia="黑体"/>
          <w:b/>
          <w:caps/>
          <w:color w:val="0F6FC6" w:themeColor="accent5"/>
          <w:sz w:val="21"/>
          <w:szCs w:val="36"/>
          <w:lang w:val="zh-CN"/>
          <w14:textFill>
            <w14:solidFill>
              <w14:schemeClr w14:val="accent5"/>
            </w14:solidFill>
          </w14:textFill>
        </w:rPr>
        <w:t>2021届本科毕业生对就业机会的评价</w:t>
      </w:r>
    </w:p>
    <w:p>
      <w:pPr>
        <w:ind w:firstLine="360" w:firstLineChars="200"/>
        <w:rPr>
          <w:rFonts w:ascii="Times New Roman" w:hAnsi="Times New Roman"/>
          <w:color w:val="0F6FC6" w:themeColor="accent5"/>
          <w:sz w:val="18"/>
          <w:szCs w:val="18"/>
          <w:lang w:val="zh-CN"/>
          <w14:textFill>
            <w14:solidFill>
              <w14:schemeClr w14:val="accent5"/>
            </w14:solidFill>
          </w14:textFill>
        </w:rPr>
      </w:pPr>
      <w:r>
        <w:rPr>
          <w:rFonts w:ascii="Times New Roman" w:hAnsi="Times New Roman"/>
          <w:color w:val="0F6FC6" w:themeColor="accent5"/>
          <w:sz w:val="18"/>
          <w:szCs w:val="18"/>
          <w:lang w:val="zh-CN"/>
          <w14:textFill>
            <w14:solidFill>
              <w14:schemeClr w14:val="accent5"/>
            </w14:solidFill>
          </w14:textFill>
        </w:rPr>
        <w:t>注：</w:t>
      </w:r>
      <w:r>
        <w:rPr>
          <w:rFonts w:hint="eastAsia" w:ascii="Times New Roman" w:hAnsi="Times New Roman"/>
          <w:color w:val="0F6FC6" w:themeColor="accent5"/>
          <w:sz w:val="18"/>
          <w:szCs w:val="18"/>
          <w:lang w:val="zh-CN"/>
          <w14:textFill>
            <w14:solidFill>
              <w14:schemeClr w14:val="accent5"/>
            </w14:solidFill>
          </w14:textFill>
        </w:rPr>
        <w:t>就业机会“较多”占比为选择“非常多”、“比较多”占比之和，“较少”占比为选择“比较少”、“非常少”占比之和。</w:t>
      </w:r>
    </w:p>
    <w:p>
      <w:pPr>
        <w:ind w:firstLine="360" w:firstLineChars="200"/>
        <w:rPr>
          <w:rFonts w:ascii="Times New Roman" w:hAnsi="Times New Roman"/>
          <w:color w:val="0F6FC6" w:themeColor="accent5"/>
          <w:sz w:val="18"/>
          <w:szCs w:val="18"/>
          <w:lang w:val="zh-CN"/>
          <w14:textFill>
            <w14:solidFill>
              <w14:schemeClr w14:val="accent5"/>
            </w14:solidFill>
          </w14:textFill>
        </w:rPr>
      </w:pPr>
      <w:r>
        <w:rPr>
          <w:rFonts w:hint="eastAsia" w:ascii="Times New Roman" w:hAnsi="Times New Roman"/>
          <w:color w:val="0F6FC6" w:themeColor="accent5"/>
          <w:sz w:val="18"/>
          <w:szCs w:val="18"/>
          <w:lang w:val="zh-CN"/>
          <w14:textFill>
            <w14:solidFill>
              <w14:schemeClr w14:val="accent5"/>
            </w14:solidFill>
          </w14:textFill>
        </w:rPr>
        <w:t>数据来源：第三方机构新锦成</w:t>
      </w:r>
      <w:r>
        <w:rPr>
          <w:rFonts w:ascii="Times New Roman" w:hAnsi="Times New Roman"/>
          <w:color w:val="0F6FC6" w:themeColor="accent5"/>
          <w:sz w:val="18"/>
          <w:szCs w:val="18"/>
          <w:lang w:val="zh-CN"/>
          <w14:textFill>
            <w14:solidFill>
              <w14:schemeClr w14:val="accent5"/>
            </w14:solidFill>
          </w14:textFill>
        </w:rPr>
        <w:t>-2021届</w:t>
      </w:r>
      <w:r>
        <w:rPr>
          <w:rFonts w:hint="eastAsia" w:ascii="Times New Roman" w:hAnsi="Times New Roman"/>
          <w:color w:val="0F6FC6" w:themeColor="accent5"/>
          <w:sz w:val="18"/>
          <w:szCs w:val="18"/>
          <w:lang w:val="zh-CN"/>
          <w14:textFill>
            <w14:solidFill>
              <w14:schemeClr w14:val="accent5"/>
            </w14:solidFill>
          </w14:textFill>
        </w:rPr>
        <w:t>毕业生就业与培养质量调查。</w:t>
      </w:r>
    </w:p>
    <w:p>
      <w:pPr>
        <w:spacing w:before="156" w:beforeLines="50" w:line="360" w:lineRule="auto"/>
        <w:ind w:firstLine="480" w:firstLineChars="200"/>
        <w:jc w:val="both"/>
        <w:rPr>
          <w:rFonts w:ascii="Times New Roman" w:hAnsi="Times New Roman"/>
          <w:color w:val="000000"/>
        </w:rPr>
      </w:pPr>
      <w:r>
        <w:rPr>
          <w:rFonts w:hint="eastAsia" w:ascii="Times New Roman" w:hAnsi="Times New Roman"/>
          <w:b/>
          <w:bCs/>
          <w:color w:val="0F6FC6" w:themeColor="accent5"/>
          <w14:textFill>
            <w14:solidFill>
              <w14:schemeClr w14:val="accent5"/>
            </w14:solidFill>
          </w14:textFill>
        </w:rPr>
        <w:t>各学院本科毕业生</w:t>
      </w:r>
      <w:r>
        <w:rPr>
          <w:rFonts w:ascii="Times New Roman" w:hAnsi="Times New Roman"/>
          <w:b/>
          <w:bCs/>
          <w:color w:val="0F6FC6" w:themeColor="accent5"/>
          <w14:textFill>
            <w14:solidFill>
              <w14:schemeClr w14:val="accent5"/>
            </w14:solidFill>
          </w14:textFill>
        </w:rPr>
        <w:t>就业机会</w:t>
      </w:r>
      <w:r>
        <w:rPr>
          <w:rFonts w:hint="eastAsia" w:ascii="Times New Roman" w:hAnsi="Times New Roman"/>
          <w:b/>
          <w:bCs/>
          <w:color w:val="0F6FC6" w:themeColor="accent5"/>
          <w14:textFill>
            <w14:solidFill>
              <w14:schemeClr w14:val="accent5"/>
            </w14:solidFill>
          </w14:textFill>
        </w:rPr>
        <w:t>充分度</w:t>
      </w:r>
      <w:r>
        <w:rPr>
          <w:rFonts w:ascii="Times New Roman" w:hAnsi="Times New Roman"/>
          <w:b/>
          <w:bCs/>
          <w:color w:val="0F6FC6" w:themeColor="accent5"/>
          <w14:textFill>
            <w14:solidFill>
              <w14:schemeClr w14:val="accent5"/>
            </w14:solidFill>
          </w14:textFill>
        </w:rPr>
        <w:t>：</w:t>
      </w:r>
      <w:r>
        <w:rPr>
          <w:rFonts w:hint="eastAsia" w:ascii="Times New Roman" w:hAnsi="Times New Roman"/>
          <w:color w:val="000000"/>
        </w:rPr>
        <w:t>2021届本科毕业生认为就业机会“较多”的学院为医学院（75.65%）、计算机工程学院（68.00%）、电子信息工程学院（65.75%）等</w:t>
      </w:r>
      <w:r>
        <w:rPr>
          <w:rFonts w:ascii="Times New Roman" w:hAnsi="Times New Roman"/>
          <w:color w:val="000000"/>
        </w:rPr>
        <w:t>。</w:t>
      </w:r>
    </w:p>
    <w:p>
      <w:pPr>
        <w:ind w:firstLine="360" w:firstLineChars="200"/>
        <w:rPr>
          <w:rFonts w:ascii="Times New Roman" w:hAnsi="Times New Roman"/>
          <w:color w:val="0F6FC6"/>
          <w:sz w:val="18"/>
          <w:szCs w:val="18"/>
          <w:lang w:val="zh-CN"/>
        </w:rPr>
      </w:pPr>
      <w:r>
        <w:rPr>
          <w:color w:val="000000"/>
          <w:sz w:val="18"/>
          <w:szCs w:val="21"/>
        </w:rPr>
        <w:drawing>
          <wp:inline distT="0" distB="0" distL="0" distR="0">
            <wp:extent cx="5580380" cy="2943225"/>
            <wp:effectExtent l="0" t="0" r="1270" b="9525"/>
            <wp:docPr id="560"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12"/>
        <w:spacing w:before="156" w:after="156"/>
        <w:rPr>
          <w:rStyle w:val="181"/>
          <w:b/>
          <w:bCs w:val="0"/>
          <w:caps w:val="0"/>
        </w:rPr>
      </w:pPr>
      <w:r>
        <w:rPr>
          <w:rStyle w:val="181"/>
          <w:b/>
        </w:rPr>
        <w:t xml:space="preserve">图4- </w:t>
      </w:r>
      <w:r>
        <w:rPr>
          <w:rStyle w:val="181"/>
          <w:b/>
        </w:rPr>
        <w:fldChar w:fldCharType="begin"/>
      </w:r>
      <w:r>
        <w:rPr>
          <w:rStyle w:val="181"/>
          <w:b/>
        </w:rPr>
        <w:instrText xml:space="preserve"> SEQ 图3- \* ARABIC </w:instrText>
      </w:r>
      <w:r>
        <w:rPr>
          <w:rStyle w:val="181"/>
          <w:b/>
        </w:rPr>
        <w:fldChar w:fldCharType="separate"/>
      </w:r>
      <w:r>
        <w:rPr>
          <w:rStyle w:val="181"/>
          <w:b/>
        </w:rPr>
        <w:t>2</w:t>
      </w:r>
      <w:r>
        <w:rPr>
          <w:rStyle w:val="181"/>
          <w:b/>
        </w:rPr>
        <w:fldChar w:fldCharType="end"/>
      </w:r>
      <w:r>
        <w:rPr>
          <w:rStyle w:val="181"/>
          <w:rFonts w:hint="eastAsia"/>
          <w:b/>
          <w:bCs w:val="0"/>
          <w:caps w:val="0"/>
        </w:rPr>
        <w:t xml:space="preserve">  2021届主要学院本科毕业生对就业机会的评价</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line="360" w:lineRule="auto"/>
        <w:ind w:firstLine="480" w:firstLineChars="200"/>
        <w:jc w:val="both"/>
        <w:rPr>
          <w:rFonts w:ascii="Times New Roman" w:hAnsi="Times New Roman"/>
          <w:color w:val="000000"/>
        </w:rPr>
      </w:pPr>
      <w:r>
        <w:rPr>
          <w:rFonts w:hint="eastAsia" w:ascii="Times New Roman" w:hAnsi="Times New Roman"/>
          <w:b/>
          <w:bCs/>
          <w:color w:val="0F6FC6" w:themeColor="accent5"/>
          <w14:textFill>
            <w14:solidFill>
              <w14:schemeClr w14:val="accent5"/>
            </w14:solidFill>
          </w14:textFill>
        </w:rPr>
        <w:t>各专业本科毕业生</w:t>
      </w:r>
      <w:r>
        <w:rPr>
          <w:rFonts w:ascii="Times New Roman" w:hAnsi="Times New Roman"/>
          <w:b/>
          <w:bCs/>
          <w:color w:val="0F6FC6" w:themeColor="accent5"/>
          <w14:textFill>
            <w14:solidFill>
              <w14:schemeClr w14:val="accent5"/>
            </w14:solidFill>
          </w14:textFill>
        </w:rPr>
        <w:t>就业机会</w:t>
      </w:r>
      <w:r>
        <w:rPr>
          <w:rFonts w:hint="eastAsia" w:ascii="Times New Roman" w:hAnsi="Times New Roman"/>
          <w:b/>
          <w:bCs/>
          <w:color w:val="0F6FC6" w:themeColor="accent5"/>
          <w14:textFill>
            <w14:solidFill>
              <w14:schemeClr w14:val="accent5"/>
            </w14:solidFill>
          </w14:textFill>
        </w:rPr>
        <w:t>充分度</w:t>
      </w:r>
      <w:r>
        <w:rPr>
          <w:rFonts w:ascii="Times New Roman" w:hAnsi="Times New Roman"/>
          <w:b/>
          <w:bCs/>
          <w:color w:val="0F6FC6" w:themeColor="accent5"/>
          <w14:textFill>
            <w14:solidFill>
              <w14:schemeClr w14:val="accent5"/>
            </w14:solidFill>
          </w14:textFill>
        </w:rPr>
        <w:t>：</w:t>
      </w:r>
      <w:r>
        <w:rPr>
          <w:rFonts w:hint="eastAsia" w:ascii="Times New Roman" w:hAnsi="Times New Roman"/>
          <w:color w:val="000000"/>
        </w:rPr>
        <w:t>2021届本科毕业生认为就业机会“较多”的专业为计算机科学与技术（86.00%）、口腔医学（84.06%）、物流管理（80.00%）等</w:t>
      </w:r>
      <w:r>
        <w:rPr>
          <w:rFonts w:ascii="Times New Roman" w:hAnsi="Times New Roman"/>
          <w:color w:val="000000"/>
        </w:rPr>
        <w:t>。</w:t>
      </w:r>
    </w:p>
    <w:p>
      <w:pPr>
        <w:pStyle w:val="180"/>
      </w:pPr>
      <w:r>
        <w:t xml:space="preserve">表4- </w:t>
      </w:r>
      <w:r>
        <w:fldChar w:fldCharType="begin"/>
      </w:r>
      <w:r>
        <w:instrText xml:space="preserve"> SEQ 表3- \* ARABIC </w:instrText>
      </w:r>
      <w:r>
        <w:fldChar w:fldCharType="separate"/>
      </w:r>
      <w:r>
        <w:t>1</w:t>
      </w:r>
      <w:r>
        <w:fldChar w:fldCharType="end"/>
      </w:r>
      <w:r>
        <w:rPr>
          <w:rFonts w:hint="eastAsia"/>
        </w:rPr>
        <w:t xml:space="preserve">  2021届主要专业本科毕业生对就业机会的评价</w:t>
      </w:r>
    </w:p>
    <w:tbl>
      <w:tblPr>
        <w:tblStyle w:val="225"/>
        <w:tblW w:w="4958"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406"/>
        <w:gridCol w:w="1507"/>
        <w:gridCol w:w="1507"/>
        <w:gridCol w:w="150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较多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一般</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较少</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计算机科学与技术</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86.00%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14.00%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口腔医学</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84.06%</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15.94%</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物流管理</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80.00%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13.33%</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电气工程及其自动化</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77.94%</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22.06%</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护理学</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72.73%</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21.21%</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学前教育</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72.09%</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25.58%</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机械设计制造及其自动化</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69.44%</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22.22%</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市场营销</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66.67%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33.33%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网络与新媒体</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64.29%</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35.71%</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物联网工程</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59.57%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36.17%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环境设计</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57.14%</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42.86%</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化学工程与工艺</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54.35%</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43.48%</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数字媒体技术</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53.85%</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34.62%</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11.54%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印刷工程</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48.39%</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29.03%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22.58%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机械电子工程</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47.37%</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52.63%</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小学教育</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46.67%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49.33%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汉语言文学</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46.34%</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46.34%</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7.32%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信息管理与信息系统</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45.83%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37.50%</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制药工程</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43.75%</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50.00%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过程装备与控制工程</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42.86%</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47.62%</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9.52%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财务管理</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42.31%</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48.08%</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9.62%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视觉传达设计</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40.91%</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45.45%</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13.64%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康复治疗学</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38.46%</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46.15%</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15.38%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植物科学与技术</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38.46%</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23.08%</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38.46%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复合材料与工程</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36.00%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44.00%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应用物理学</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35.71%</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28.57%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35.71%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商务英语</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34.15%</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56.10%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9.76%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广播电视编导</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33.33%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55.56%</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英语</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31.82%</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47.73%</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20.45%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材料成型及控制工程</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30.43%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52.17%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17.39%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音乐表演</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30.00%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55.00%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食品科学与工程</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29.03%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32.26%</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38.71%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产品设计</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27.27%</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72.73%</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生物工程</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23.53%</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41.18%</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35.29%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飞行器制造工程</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12.50%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41.67%</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45.83%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工业设计</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11.11%</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61.11%</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27.78%</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：数学与应用数学专业</w:t>
      </w:r>
      <w:r>
        <w:rPr>
          <w:color w:val="0F6FC6" w:themeColor="accent5"/>
          <w14:textFill>
            <w14:solidFill>
              <w14:schemeClr w14:val="accent5"/>
            </w14:solidFill>
          </w14:textFill>
        </w:rPr>
        <w:t>样本量较小，不纳入到报告</w:t>
      </w:r>
      <w:r>
        <w:rPr>
          <w:rFonts w:hint="eastAsia"/>
          <w:color w:val="0F6FC6" w:themeColor="accent5"/>
          <w14:textFill>
            <w14:solidFill>
              <w14:schemeClr w14:val="accent5"/>
            </w14:solidFill>
          </w14:textFill>
        </w:rPr>
        <w:t>此处</w:t>
      </w:r>
      <w:r>
        <w:rPr>
          <w:color w:val="0F6FC6" w:themeColor="accent5"/>
          <w14:textFill>
            <w14:solidFill>
              <w14:schemeClr w14:val="accent5"/>
            </w14:solidFill>
          </w14:textFill>
        </w:rPr>
        <w:t>的分析范围</w:t>
      </w:r>
      <w:r>
        <w:rPr>
          <w:rFonts w:hint="eastAsia"/>
          <w:color w:val="0F6FC6" w:themeColor="accent5"/>
          <w14:textFill>
            <w14:solidFill>
              <w14:schemeClr w14:val="accent5"/>
            </w14:solidFill>
          </w14:textFill>
        </w:rPr>
        <w:t>。</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51"/>
        <w:rPr>
          <w:color w:val="0F6FC6" w:themeColor="accent5"/>
          <w14:textFill>
            <w14:solidFill>
              <w14:schemeClr w14:val="accent5"/>
            </w14:solidFill>
          </w14:textFill>
        </w:rPr>
      </w:pPr>
      <w:bookmarkStart w:id="185" w:name="_Toc92706743"/>
      <w:bookmarkStart w:id="186" w:name="_Toc81325056"/>
      <w:r>
        <w:rPr>
          <w:rFonts w:hint="eastAsia"/>
          <w:color w:val="0F6FC6" w:themeColor="accent5"/>
          <w14:textFill>
            <w14:solidFill>
              <w14:schemeClr w14:val="accent5"/>
            </w14:solidFill>
          </w14:textFill>
        </w:rPr>
        <w:t>（二）专业</w:t>
      </w:r>
      <w:bookmarkEnd w:id="180"/>
      <w:bookmarkEnd w:id="181"/>
      <w:bookmarkEnd w:id="182"/>
      <w:r>
        <w:rPr>
          <w:rFonts w:hint="eastAsia"/>
          <w:color w:val="0F6FC6" w:themeColor="accent5"/>
          <w14:textFill>
            <w14:solidFill>
              <w14:schemeClr w14:val="accent5"/>
            </w14:solidFill>
          </w14:textFill>
        </w:rPr>
        <w:t>对口度</w:t>
      </w:r>
      <w:bookmarkEnd w:id="185"/>
      <w:bookmarkEnd w:id="186"/>
    </w:p>
    <w:p>
      <w:pPr>
        <w:pStyle w:val="178"/>
        <w:spacing w:before="156"/>
        <w:ind w:firstLine="480"/>
      </w:pPr>
      <w:r>
        <w:rPr>
          <w:rFonts w:hint="eastAsia"/>
        </w:rPr>
        <w:t>专业对口度一定程度上反映着人才培养目标的实现程度，可以作为高校未来进行专业结构调整和专业设置的参考因素。</w:t>
      </w:r>
    </w:p>
    <w:p>
      <w:pPr>
        <w:spacing w:line="360" w:lineRule="auto"/>
        <w:ind w:firstLine="480" w:firstLineChars="200"/>
        <w:jc w:val="both"/>
        <w:rPr>
          <w:color w:val="000000"/>
          <w:lang w:val="zh-CN" w:eastAsia="zh-CN"/>
        </w:rPr>
      </w:pPr>
      <w:r>
        <w:rPr>
          <w:rFonts w:hint="eastAsia"/>
          <w:b/>
          <w:color w:val="0F6FC6" w:themeColor="accent5"/>
          <w:lang w:val="zh-CN"/>
          <w14:textFill>
            <w14:solidFill>
              <w14:schemeClr w14:val="accent5"/>
            </w14:solidFill>
          </w14:textFill>
        </w:rPr>
        <w:t>总体专业对口度：</w:t>
      </w:r>
      <w:r>
        <w:rPr>
          <w:rFonts w:hint="eastAsia" w:ascii="Times New Roman" w:hAnsi="Times New Roman"/>
          <w:color w:val="000000"/>
          <w:lang w:val="zh-CN" w:eastAsia="zh-CN"/>
        </w:rPr>
        <w:t>72.70%</w:t>
      </w:r>
      <w:r>
        <w:rPr>
          <w:rFonts w:hint="eastAsia"/>
          <w:color w:val="000000"/>
          <w:lang w:val="zh-CN" w:eastAsia="zh-CN"/>
        </w:rPr>
        <w:t>的</w:t>
      </w:r>
      <w:r>
        <w:rPr>
          <w:rFonts w:hint="eastAsia"/>
          <w:color w:val="000000"/>
          <w:lang w:val="zh-CN"/>
        </w:rPr>
        <w:t>本科</w:t>
      </w:r>
      <w:r>
        <w:rPr>
          <w:rFonts w:hint="eastAsia"/>
          <w:color w:val="000000"/>
          <w:lang w:val="zh-CN" w:eastAsia="zh-CN"/>
        </w:rPr>
        <w:t>毕业生认为目前就职岗位与所学专业</w:t>
      </w:r>
      <w:r>
        <w:rPr>
          <w:rFonts w:hint="eastAsia"/>
          <w:color w:val="000000"/>
          <w:lang w:val="zh-CN"/>
        </w:rPr>
        <w:t>对口，可见</w:t>
      </w:r>
      <w:r>
        <w:rPr>
          <w:rFonts w:hint="eastAsia"/>
          <w:color w:val="000000"/>
          <w:lang w:val="zh-CN" w:eastAsia="zh-CN"/>
        </w:rPr>
        <w:t>毕业生所学专业知识及技能与实际工作的契合度较高，能够学以致用。</w:t>
      </w:r>
    </w:p>
    <w:p>
      <w:pPr>
        <w:pStyle w:val="180"/>
        <w:tabs>
          <w:tab w:val="left" w:pos="400"/>
          <w:tab w:val="center" w:pos="4394"/>
        </w:tabs>
        <w:spacing w:before="120" w:after="120" w:line="240" w:lineRule="auto"/>
        <w:rPr>
          <w:highlight w:val="green"/>
        </w:rPr>
      </w:pPr>
      <w:r>
        <w:rPr>
          <w:lang w:val="en-US"/>
        </w:rPr>
        <w:drawing>
          <wp:inline distT="0" distB="0" distL="0" distR="0">
            <wp:extent cx="4286250" cy="17907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180"/>
        <w:tabs>
          <w:tab w:val="left" w:pos="400"/>
          <w:tab w:val="center" w:pos="4394"/>
        </w:tabs>
      </w:pPr>
      <w:bookmarkStart w:id="187" w:name="_Toc521678846"/>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3</w:t>
      </w:r>
      <w:r>
        <w:fldChar w:fldCharType="end"/>
      </w:r>
      <w:r>
        <w:t xml:space="preserve">  </w:t>
      </w:r>
      <w:r>
        <w:rPr>
          <w:rFonts w:hint="eastAsia" w:eastAsia="宋体"/>
        </w:rPr>
        <w:t>2021</w:t>
      </w:r>
      <w:r>
        <w:rPr>
          <w:rFonts w:hint="eastAsia"/>
        </w:rPr>
        <w:t>届本科毕业生专业对口度分布</w:t>
      </w:r>
      <w:bookmarkEnd w:id="187"/>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专业对口度评价维度包括“很对口”、“对口”、“基本对口”、“不对口”、“很不对口”和“无法评价”；其中，对口度为选择“很对口”、“对口”和“基本对口”的人数占“此题总人数—无法评价人数”的比例。</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主要学院的专业对口度</w:t>
      </w:r>
      <w:r>
        <w:rPr>
          <w:rFonts w:ascii="Times New Roman" w:hAnsi="Times New Roman" w:cstheme="minorBidi"/>
          <w:b/>
          <w:color w:val="0F6FC6" w:themeColor="accent5"/>
          <w14:textFill>
            <w14:solidFill>
              <w14:schemeClr w14:val="accent5"/>
            </w14:solidFill>
          </w14:textFill>
        </w:rPr>
        <w:t>：</w:t>
      </w:r>
      <w:r>
        <w:rPr>
          <w:rFonts w:hint="eastAsia"/>
          <w:color w:val="000000"/>
          <w:lang w:val="zh-CN"/>
        </w:rPr>
        <w:t>本科</w:t>
      </w:r>
      <w:r>
        <w:rPr>
          <w:rFonts w:hint="eastAsia"/>
          <w:color w:val="000000"/>
          <w:lang w:val="zh-CN" w:eastAsia="zh-CN"/>
        </w:rPr>
        <w:t>毕业生</w:t>
      </w:r>
      <w:r>
        <w:rPr>
          <w:rFonts w:hint="eastAsia" w:asciiTheme="minorEastAsia" w:hAnsiTheme="minorEastAsia"/>
          <w:color w:val="000000" w:themeColor="text1"/>
          <w:szCs w:val="21"/>
          <w14:textFill>
            <w14:solidFill>
              <w14:schemeClr w14:val="tx1"/>
            </w14:solidFill>
          </w14:textFill>
        </w:rPr>
        <w:t>专业对口度相对较高的学院为</w:t>
      </w:r>
      <w:r>
        <w:rPr>
          <w:rFonts w:ascii="Times New Roman" w:hAnsi="Times New Roman"/>
          <w:color w:val="000000" w:themeColor="text1"/>
          <w:szCs w:val="21"/>
          <w14:textFill>
            <w14:solidFill>
              <w14:schemeClr w14:val="tx1"/>
            </w14:solidFill>
          </w14:textFill>
        </w:rPr>
        <w:t>医学院（92.86%）、师范学院（92.31%）、计算机工程学院（77.46%）</w:t>
      </w:r>
      <w:r>
        <w:rPr>
          <w:rFonts w:hint="eastAsia" w:ascii="Times New Roman" w:hAnsi="Times New Roman"/>
          <w:color w:val="000000" w:themeColor="text1"/>
          <w:szCs w:val="21"/>
          <w14:textFill>
            <w14:solidFill>
              <w14:schemeClr w14:val="tx1"/>
            </w14:solidFill>
          </w14:textFill>
        </w:rPr>
        <w:t>等</w:t>
      </w:r>
      <w:r>
        <w:rPr>
          <w:rFonts w:hint="eastAsia" w:asciiTheme="minorEastAsia" w:hAnsiTheme="minorEastAsia"/>
          <w:color w:val="000000" w:themeColor="text1"/>
          <w:szCs w:val="21"/>
          <w14:textFill>
            <w14:solidFill>
              <w14:schemeClr w14:val="tx1"/>
            </w14:solidFill>
          </w14:textFill>
        </w:rPr>
        <w:t>。</w:t>
      </w:r>
    </w:p>
    <w:p>
      <w:pPr>
        <w:pStyle w:val="180"/>
      </w:pPr>
      <w:bookmarkStart w:id="188" w:name="_Toc521676324"/>
      <w:bookmarkStart w:id="189" w:name="_Toc521678847"/>
      <w:r>
        <w:t xml:space="preserve">表4- </w:t>
      </w:r>
      <w:r>
        <w:fldChar w:fldCharType="begin"/>
      </w:r>
      <w:r>
        <w:instrText xml:space="preserve"> SEQ 表3- \* ARABIC </w:instrText>
      </w:r>
      <w:r>
        <w:fldChar w:fldCharType="separate"/>
      </w:r>
      <w:r>
        <w:t>2</w:t>
      </w:r>
      <w:r>
        <w:fldChar w:fldCharType="end"/>
      </w:r>
      <w:r>
        <w:t xml:space="preserve">  </w:t>
      </w:r>
      <w:r>
        <w:rPr>
          <w:rFonts w:hint="eastAsia" w:eastAsia="宋体"/>
        </w:rPr>
        <w:t>2021</w:t>
      </w:r>
      <w:r>
        <w:rPr>
          <w:rFonts w:hint="eastAsia"/>
        </w:rPr>
        <w:t>届主要学院本科毕业生专业对口度情况分布</w:t>
      </w:r>
      <w:bookmarkEnd w:id="188"/>
      <w:bookmarkEnd w:id="189"/>
    </w:p>
    <w:tbl>
      <w:tblPr>
        <w:tblStyle w:val="225"/>
        <w:tblW w:w="8926"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122"/>
        <w:gridCol w:w="1134"/>
        <w:gridCol w:w="1134"/>
        <w:gridCol w:w="1134"/>
        <w:gridCol w:w="1134"/>
        <w:gridCol w:w="1134"/>
        <w:gridCol w:w="113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122"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学院</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基本对口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不对口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很不对口</w:t>
            </w:r>
          </w:p>
        </w:tc>
        <w:tc>
          <w:tcPr>
            <w:tcW w:w="1134"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对口度</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医学院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38.10%</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44.05%</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10.71%</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5.95%</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1.19%</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师范学院</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36.26%</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27.47%</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28.57%</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3.30%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4.40%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92.31%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计算机工程学院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16.90%</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19.72%</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40.85%</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21.13%</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1.41%</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77.46%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电子信息工程学院</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19.79%</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21.88%</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34.38%</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17.71%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6.25%</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76.04%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文学与传媒学院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8.06%</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14.52%</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48.39%</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25.81%</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3.23%</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70.97%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外国语学院</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12.28%</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22.81%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35.09%</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22.81%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7.02%</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70.18%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化工与药学院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15.38%</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13.19%</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40.66%</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28.57%</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2.20%</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69.23%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生物工程学院</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10.71%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14.29%</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35.71%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28.57%</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10.71%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60.71%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艺术学院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12.16%</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18.92%</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27.03%</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33.78%</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8.11%</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58.11%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经济与管理学院</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13.46%</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5.77%</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36.54%</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42.31%</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1.92%</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55.77%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机械工程学院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5.17%</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5.17%</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43.10%</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37.93%</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8.62%</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53.45%</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数理学院</w:t>
      </w:r>
      <w:r>
        <w:rPr>
          <w:color w:val="0F6FC6" w:themeColor="accent5"/>
          <w14:textFill>
            <w14:solidFill>
              <w14:schemeClr w14:val="accent5"/>
            </w14:solidFill>
          </w14:textFill>
        </w:rPr>
        <w:t>样本量较小，不纳入到报告的分析范围。</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主要专业</w:t>
      </w:r>
      <w:r>
        <w:rPr>
          <w:rFonts w:ascii="Times New Roman" w:hAnsi="Times New Roman" w:cstheme="minorBidi"/>
          <w:b/>
          <w:color w:val="0F6FC6" w:themeColor="accent5"/>
          <w14:textFill>
            <w14:solidFill>
              <w14:schemeClr w14:val="accent5"/>
            </w14:solidFill>
          </w14:textFill>
        </w:rPr>
        <w:t>的</w:t>
      </w:r>
      <w:r>
        <w:rPr>
          <w:rFonts w:hint="eastAsia" w:ascii="Times New Roman" w:hAnsi="Times New Roman" w:cstheme="minorBidi"/>
          <w:b/>
          <w:color w:val="0F6FC6" w:themeColor="accent5"/>
          <w14:textFill>
            <w14:solidFill>
              <w14:schemeClr w14:val="accent5"/>
            </w14:solidFill>
          </w14:textFill>
        </w:rPr>
        <w:t>专业对口度</w:t>
      </w:r>
      <w:r>
        <w:rPr>
          <w:rFonts w:ascii="Times New Roman" w:hAnsi="Times New Roman" w:cstheme="minorBidi"/>
          <w:b/>
          <w:color w:val="0F6FC6" w:themeColor="accent5"/>
          <w14:textFill>
            <w14:solidFill>
              <w14:schemeClr w14:val="accent5"/>
            </w14:solidFill>
          </w14:textFill>
        </w:rPr>
        <w:t>：</w:t>
      </w:r>
      <w:bookmarkStart w:id="190" w:name="_Toc521678848"/>
      <w:bookmarkStart w:id="191" w:name="_Toc521676325"/>
      <w:r>
        <w:rPr>
          <w:rFonts w:hint="eastAsia"/>
          <w:color w:val="000000"/>
          <w:lang w:val="zh-CN"/>
        </w:rPr>
        <w:t>本科</w:t>
      </w:r>
      <w:r>
        <w:rPr>
          <w:rFonts w:hint="eastAsia"/>
          <w:color w:val="000000"/>
          <w:lang w:val="zh-CN" w:eastAsia="zh-CN"/>
        </w:rPr>
        <w:t>毕业生</w:t>
      </w:r>
      <w:r>
        <w:rPr>
          <w:rFonts w:hint="eastAsia" w:asciiTheme="minorEastAsia" w:hAnsiTheme="minorEastAsia"/>
          <w:color w:val="000000" w:themeColor="text1"/>
          <w:szCs w:val="21"/>
          <w14:textFill>
            <w14:solidFill>
              <w14:schemeClr w14:val="tx1"/>
            </w14:solidFill>
          </w14:textFill>
        </w:rPr>
        <w:t>专业对口度相对较高的专业为</w:t>
      </w:r>
      <w:r>
        <w:rPr>
          <w:rFonts w:hint="eastAsia" w:ascii="Times New Roman" w:hAnsi="Times New Roman" w:cstheme="minorBidi"/>
          <w:color w:val="000000"/>
        </w:rPr>
        <w:t>口腔医学（98.11%）、小学教育（92.45%）、学前教育（92.11%）等</w:t>
      </w:r>
      <w:r>
        <w:rPr>
          <w:rFonts w:hint="eastAsia" w:asciiTheme="minorEastAsia" w:hAnsiTheme="minorEastAsia"/>
          <w:color w:val="000000" w:themeColor="text1"/>
          <w:szCs w:val="21"/>
          <w14:textFill>
            <w14:solidFill>
              <w14:schemeClr w14:val="tx1"/>
            </w14:solidFill>
          </w14:textFill>
        </w:rPr>
        <w:t>。</w:t>
      </w: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p>
    <w:p>
      <w:pPr>
        <w:pStyle w:val="180"/>
      </w:pPr>
      <w:r>
        <w:t xml:space="preserve">表4- </w:t>
      </w:r>
      <w:r>
        <w:fldChar w:fldCharType="begin"/>
      </w:r>
      <w:r>
        <w:instrText xml:space="preserve"> SEQ 表3- \* ARABIC </w:instrText>
      </w:r>
      <w:r>
        <w:fldChar w:fldCharType="separate"/>
      </w:r>
      <w:r>
        <w:t>3</w:t>
      </w:r>
      <w:r>
        <w:fldChar w:fldCharType="end"/>
      </w:r>
      <w:r>
        <w:t xml:space="preserve">  </w:t>
      </w:r>
      <w:r>
        <w:rPr>
          <w:rFonts w:hint="eastAsia"/>
        </w:rPr>
        <w:t>2021届主要专业</w:t>
      </w:r>
      <w:r>
        <w:t>本科</w:t>
      </w:r>
      <w:r>
        <w:rPr>
          <w:rFonts w:hint="eastAsia"/>
        </w:rPr>
        <w:t>毕业</w:t>
      </w:r>
      <w:r>
        <w:t>生</w:t>
      </w:r>
      <w:r>
        <w:rPr>
          <w:rFonts w:hint="eastAsia"/>
        </w:rPr>
        <w:t>专业对口度情况分布</w:t>
      </w:r>
      <w:bookmarkEnd w:id="190"/>
      <w:bookmarkEnd w:id="191"/>
    </w:p>
    <w:tbl>
      <w:tblPr>
        <w:tblStyle w:val="225"/>
        <w:tblW w:w="8789"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552"/>
        <w:gridCol w:w="987"/>
        <w:gridCol w:w="992"/>
        <w:gridCol w:w="1140"/>
        <w:gridCol w:w="987"/>
        <w:gridCol w:w="1139"/>
        <w:gridCol w:w="99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552"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987"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很对口</w:t>
            </w:r>
          </w:p>
        </w:tc>
        <w:tc>
          <w:tcPr>
            <w:tcW w:w="992"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w:t>
            </w:r>
          </w:p>
        </w:tc>
        <w:tc>
          <w:tcPr>
            <w:tcW w:w="1140"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基本对口</w:t>
            </w:r>
          </w:p>
        </w:tc>
        <w:tc>
          <w:tcPr>
            <w:tcW w:w="987"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不对口</w:t>
            </w:r>
          </w:p>
        </w:tc>
        <w:tc>
          <w:tcPr>
            <w:tcW w:w="1139"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很不对口</w:t>
            </w:r>
          </w:p>
        </w:tc>
        <w:tc>
          <w:tcPr>
            <w:tcW w:w="992"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对口度</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口腔医学</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45.28%</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45.28%</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7.55%</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1.89%</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98.11%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小学教育</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30.19%</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24.53%</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37.74%</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1.89%</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5.66%</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92.45%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学前教育</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44.74%</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31.58%</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15.79%</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5.26%</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2.63%</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92.11%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康复治疗学</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30.00%</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30.00%</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10.00%</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制药工程</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10.26%</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17.95%</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61.54%</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10.26%</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89.74%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计算机科学与技术</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21.95%</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24.39%</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41.46%</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12.20%</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87.80%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电气工程及其自动化</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39.58%</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18.75%</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27.08%</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12.50%</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2.08%</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85.42%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汉语言文学</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10.71%</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14.29%</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57.14%</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17.86%</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82.14%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护理学</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23.81%</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47.62%</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9.52%</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14.29%</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4.76%</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80.95%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音乐表演</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19.35%</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22.58%</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32.26%</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22.58%</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3.23%</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74.19%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商务英语</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13.04%</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21.74%</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39.13%</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17.39%</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8.70%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73.91%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物联网工程</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20.69%</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51.72%</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24.14%</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3.45%</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72.41%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信息管理与信息系统</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14.29%</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21.43%</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35.71%</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28.57%</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71.43%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机械设计制造及其自动化</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8.00%</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52.00%</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28.00%</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68.00%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英语</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11.76%</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23.53%</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32.35%</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26.47%</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5.88%</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67.65%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广播电视编导</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9.52%</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14.29%</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42.86%</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33.33%</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化学工程与工艺</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18.52%</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18.52%</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29.63%</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33.33%</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物流管理</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60.00%</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40.00%</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印刷工程</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31.58%</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26.32%</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21.05%</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21.05%</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57.89%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财务管理</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18.18%</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9.09%</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30.30%</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42.42%</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57.58%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数字媒体技术</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6.25%</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6.25%</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43.75%</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37.50%</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6.25%</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食品科学与工程</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6.25%</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18.75%</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31.25%</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31.25%</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12.50%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网络与新媒体</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15.38%</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38.46%</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30.77%</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15.38%</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材料成型及控制工程</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53.85%</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30.77%</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15.38%</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视觉传达设计</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13.33%</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26.67%</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13.33%</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26.67%</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过程装备与控制工程</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14.29%</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28.57%</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50.00%</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7.14%</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工业设计</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30.00%</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50.00%</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复合材料与工程</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27.27%</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9.09%</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54.55%</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9.09%</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36.36%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飞行器制造工程</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8.33%</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8.33%</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16.67%</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58.33%</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8.33%</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33.33%</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生物工程、数学与应用数学、环境设计、市场营销、产品设计、应用物理学、机械电子工程、植物科学与技术等</w:t>
      </w:r>
      <w:r>
        <w:rPr>
          <w:color w:val="0F6FC6" w:themeColor="accent5"/>
          <w14:textFill>
            <w14:solidFill>
              <w14:schemeClr w14:val="accent5"/>
            </w14:solidFill>
          </w14:textFill>
        </w:rPr>
        <w:t>专业样本量较小，不纳入到报告的分析范围。</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p>
      <w:pPr>
        <w:pStyle w:val="151"/>
        <w:rPr>
          <w:color w:val="0F6FC6" w:themeColor="accent5"/>
          <w14:textFill>
            <w14:solidFill>
              <w14:schemeClr w14:val="accent5"/>
            </w14:solidFill>
          </w14:textFill>
        </w:rPr>
      </w:pPr>
      <w:bookmarkStart w:id="192" w:name="_Toc487789906"/>
      <w:bookmarkStart w:id="193" w:name="_Toc487790087"/>
      <w:bookmarkStart w:id="194" w:name="_Toc496017579"/>
      <w:bookmarkStart w:id="195" w:name="_Toc92706744"/>
      <w:bookmarkStart w:id="196" w:name="_Toc81325057"/>
      <w:r>
        <w:rPr>
          <w:rFonts w:hint="eastAsia"/>
          <w:color w:val="0F6FC6" w:themeColor="accent5"/>
          <w14:textFill>
            <w14:solidFill>
              <w14:schemeClr w14:val="accent5"/>
            </w14:solidFill>
          </w14:textFill>
        </w:rPr>
        <w:t>（三</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工作</w:t>
      </w:r>
      <w:r>
        <w:rPr>
          <w:color w:val="0F6FC6" w:themeColor="accent5"/>
          <w14:textFill>
            <w14:solidFill>
              <w14:schemeClr w14:val="accent5"/>
            </w14:solidFill>
          </w14:textFill>
        </w:rPr>
        <w:t>满意</w:t>
      </w:r>
      <w:r>
        <w:rPr>
          <w:rFonts w:hint="eastAsia"/>
          <w:color w:val="0F6FC6" w:themeColor="accent5"/>
          <w14:textFill>
            <w14:solidFill>
              <w14:schemeClr w14:val="accent5"/>
            </w14:solidFill>
          </w14:textFill>
        </w:rPr>
        <w:t>度</w:t>
      </w:r>
      <w:bookmarkEnd w:id="192"/>
      <w:bookmarkEnd w:id="193"/>
      <w:bookmarkEnd w:id="194"/>
      <w:r>
        <w:rPr>
          <w:rStyle w:val="41"/>
          <w:color w:val="0F6FC6" w:themeColor="accent5"/>
          <w14:textFill>
            <w14:solidFill>
              <w14:schemeClr w14:val="accent5"/>
            </w14:solidFill>
          </w14:textFill>
        </w:rPr>
        <w:footnoteReference w:id="3"/>
      </w:r>
      <w:bookmarkEnd w:id="195"/>
      <w:bookmarkEnd w:id="196"/>
    </w:p>
    <w:p>
      <w:pPr>
        <w:pStyle w:val="178"/>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pPr>
        <w:pStyle w:val="178"/>
        <w:spacing w:before="156" w:after="156"/>
        <w:ind w:firstLine="482"/>
      </w:pPr>
      <w:r>
        <w:rPr>
          <w:rFonts w:hint="eastAsia" w:cstheme="minorBidi"/>
          <w:b/>
          <w:bCs w:val="0"/>
          <w:color w:val="0F6FC6" w:themeColor="accent5"/>
          <w:szCs w:val="24"/>
          <w:lang w:val="en-US"/>
          <w14:textFill>
            <w14:solidFill>
              <w14:schemeClr w14:val="accent5"/>
            </w14:solidFill>
          </w14:textFill>
        </w:rPr>
        <w:t>工作</w:t>
      </w:r>
      <w:r>
        <w:rPr>
          <w:rFonts w:cstheme="minorBidi"/>
          <w:b/>
          <w:bCs w:val="0"/>
          <w:color w:val="0F6FC6" w:themeColor="accent5"/>
          <w:szCs w:val="24"/>
          <w:lang w:val="en-US"/>
          <w14:textFill>
            <w14:solidFill>
              <w14:schemeClr w14:val="accent5"/>
            </w14:solidFill>
          </w14:textFill>
        </w:rPr>
        <w:t>总体及各方面的满意度：</w:t>
      </w:r>
      <w:r>
        <w:rPr>
          <w:rFonts w:hint="eastAsia"/>
        </w:rPr>
        <w:t>学校</w:t>
      </w:r>
      <w:r>
        <w:rPr>
          <w:lang w:val="en-US"/>
        </w:rPr>
        <w:t>2021</w:t>
      </w:r>
      <w:r>
        <w:t>届</w:t>
      </w:r>
      <w:r>
        <w:rPr>
          <w:rFonts w:hint="eastAsia"/>
        </w:rPr>
        <w:t>本科毕业生对目前</w:t>
      </w:r>
      <w:r>
        <w:t>工作</w:t>
      </w:r>
      <w:r>
        <w:rPr>
          <w:rFonts w:hint="eastAsia"/>
        </w:rPr>
        <w:t>总体满意度为</w:t>
      </w:r>
      <w:r>
        <w:rPr>
          <w:rFonts w:hint="eastAsia"/>
          <w:lang w:val="en-US"/>
        </w:rPr>
        <w:t>92.31%</w:t>
      </w:r>
      <w:r>
        <w:rPr>
          <w:lang w:val="en-US"/>
        </w:rPr>
        <w:t>；</w:t>
      </w:r>
      <w:r>
        <w:rPr>
          <w:rFonts w:hint="eastAsia"/>
        </w:rPr>
        <w:t>对职业发展前景、工作内容、薪酬的满意度分别为</w:t>
      </w:r>
      <w:r>
        <w:rPr>
          <w:rFonts w:hint="eastAsia"/>
          <w:lang w:val="en-US"/>
        </w:rPr>
        <w:t>82.69%</w:t>
      </w:r>
      <w:r>
        <w:rPr>
          <w:rFonts w:hint="eastAsia"/>
        </w:rPr>
        <w:t>、</w:t>
      </w:r>
      <w:r>
        <w:rPr>
          <w:rFonts w:hint="eastAsia"/>
          <w:lang w:val="en-US"/>
        </w:rPr>
        <w:t>87.70%</w:t>
      </w:r>
      <w:r>
        <w:rPr>
          <w:rFonts w:hint="eastAsia"/>
        </w:rPr>
        <w:t>、</w:t>
      </w:r>
      <w:r>
        <w:rPr>
          <w:rFonts w:hint="eastAsia"/>
          <w:lang w:val="en-US"/>
        </w:rPr>
        <w:t>78.81%</w:t>
      </w:r>
      <w:r>
        <w:t>。</w:t>
      </w:r>
      <w:r>
        <w:rPr>
          <w:rFonts w:hint="eastAsia"/>
        </w:rPr>
        <w:t>可见本科毕业生</w:t>
      </w:r>
      <w:r>
        <w:t>对初入</w:t>
      </w:r>
      <w:r>
        <w:rPr>
          <w:rFonts w:hint="eastAsia"/>
        </w:rPr>
        <w:t>职场的</w:t>
      </w:r>
      <w:r>
        <w:t>岗位</w:t>
      </w:r>
      <w:r>
        <w:rPr>
          <w:rFonts w:hint="eastAsia"/>
        </w:rPr>
        <w:t>和</w:t>
      </w:r>
      <w:r>
        <w:t>工作内容</w:t>
      </w:r>
      <w:r>
        <w:rPr>
          <w:rFonts w:hint="eastAsia"/>
        </w:rPr>
        <w:t>等</w:t>
      </w:r>
      <w:r>
        <w:t>方面</w:t>
      </w:r>
      <w:r>
        <w:rPr>
          <w:rFonts w:hint="eastAsia"/>
        </w:rPr>
        <w:t>均比较</w:t>
      </w:r>
      <w:r>
        <w:t>认同</w:t>
      </w:r>
      <w:r>
        <w:rPr>
          <w:rFonts w:hint="eastAsia"/>
        </w:rPr>
        <w:t>。</w:t>
      </w:r>
    </w:p>
    <w:p>
      <w:pPr>
        <w:pStyle w:val="178"/>
        <w:spacing w:before="156" w:after="156"/>
        <w:ind w:firstLine="199" w:firstLineChars="83"/>
        <w:jc w:val="center"/>
      </w:pPr>
      <w:r>
        <w:rPr>
          <w:lang w:val="en-US"/>
        </w:rPr>
        <w:drawing>
          <wp:inline distT="0" distB="0" distL="0" distR="0">
            <wp:extent cx="5000625" cy="1876425"/>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180"/>
      </w:pPr>
      <w:bookmarkStart w:id="197" w:name="_Toc521678850"/>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4</w:t>
      </w:r>
      <w:r>
        <w:fldChar w:fldCharType="end"/>
      </w:r>
      <w:r>
        <w:t xml:space="preserve">  2021届</w:t>
      </w:r>
      <w:r>
        <w:rPr>
          <w:rFonts w:hint="eastAsia"/>
        </w:rPr>
        <w:t>本科</w:t>
      </w:r>
      <w:r>
        <w:t>毕业生对工作满意度的评价</w:t>
      </w:r>
      <w:bookmarkEnd w:id="197"/>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评价维度包括“很满意”、“满意”、“基本满意”、“不满意”、“很不满意”和“无法评价”；其中，满意度为选择“很满意”、“满意”和“基本满意”的人数占“此题总人数—无法评价人数”的比例。</w:t>
      </w:r>
    </w:p>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：第三方机构新锦成-2021届</w:t>
      </w:r>
      <w:r>
        <w:rPr>
          <w:color w:val="0F6FC6" w:themeColor="accent5"/>
          <w14:textFill>
            <w14:solidFill>
              <w14:schemeClr w14:val="accent5"/>
            </w14:solidFill>
          </w14:textFill>
        </w:rPr>
        <w:t>毕业生就业与培养质量调查。</w:t>
      </w: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主要学院工作</w:t>
      </w:r>
      <w:r>
        <w:rPr>
          <w:rFonts w:ascii="Times New Roman" w:hAnsi="Times New Roman" w:cstheme="minorBidi"/>
          <w:b/>
          <w:color w:val="0F6FC6" w:themeColor="accent5"/>
          <w14:textFill>
            <w14:solidFill>
              <w14:schemeClr w14:val="accent5"/>
            </w14:solidFill>
          </w14:textFill>
        </w:rPr>
        <w:t>满意度：</w:t>
      </w:r>
      <w:r>
        <w:rPr>
          <w:rFonts w:hint="eastAsia" w:asciiTheme="minorEastAsia" w:hAnsiTheme="minorEastAsia"/>
          <w:color w:val="000000" w:themeColor="text1"/>
          <w:szCs w:val="21"/>
          <w14:textFill>
            <w14:solidFill>
              <w14:schemeClr w14:val="tx1"/>
            </w14:solidFill>
          </w14:textFill>
        </w:rPr>
        <w:t>从工作总体满意度来看，</w:t>
      </w:r>
      <w:r>
        <w:rPr>
          <w:rFonts w:hint="eastAsia" w:ascii="Times New Roman" w:hAnsi="Times New Roman"/>
          <w:color w:val="000000" w:themeColor="text1"/>
          <w:szCs w:val="21"/>
          <w14:textFill>
            <w14:solidFill>
              <w14:schemeClr w14:val="tx1"/>
            </w14:solidFill>
          </w14:textFill>
        </w:rPr>
        <w:t>经济与管理学院（96.08%）、电子信息工程学院（95.79%）、师范学院（94.38%）</w:t>
      </w:r>
      <w:r>
        <w:rPr>
          <w:rFonts w:hint="eastAsia" w:asciiTheme="minorEastAsia" w:hAnsiTheme="minorEastAsia"/>
          <w:color w:val="000000" w:themeColor="text1"/>
          <w:szCs w:val="21"/>
          <w14:textFill>
            <w14:solidFill>
              <w14:schemeClr w14:val="tx1"/>
            </w14:solidFill>
          </w14:textFill>
        </w:rPr>
        <w:t>等学院的本科毕业生的工作满意度相对较高。</w:t>
      </w:r>
    </w:p>
    <w:p>
      <w:pPr>
        <w:pStyle w:val="180"/>
      </w:pPr>
      <w:bookmarkStart w:id="198" w:name="_Toc521678851"/>
      <w:bookmarkStart w:id="199" w:name="_Toc521676326"/>
      <w:r>
        <w:t xml:space="preserve">表4- </w:t>
      </w:r>
      <w:r>
        <w:fldChar w:fldCharType="begin"/>
      </w:r>
      <w:r>
        <w:instrText xml:space="preserve"> SEQ 表3- \* ARABIC </w:instrText>
      </w:r>
      <w:r>
        <w:fldChar w:fldCharType="separate"/>
      </w:r>
      <w:r>
        <w:t>4</w:t>
      </w:r>
      <w:r>
        <w:fldChar w:fldCharType="end"/>
      </w:r>
      <w:r>
        <w:t xml:space="preserve">  </w:t>
      </w:r>
      <w:r>
        <w:rPr>
          <w:rFonts w:hint="eastAsia" w:eastAsia="宋体"/>
        </w:rPr>
        <w:t>2021</w:t>
      </w:r>
      <w:r>
        <w:rPr>
          <w:rFonts w:hint="eastAsia"/>
        </w:rPr>
        <w:t>届主要学院本科毕业生工作满意度</w:t>
      </w:r>
      <w:r>
        <w:t>评价</w:t>
      </w:r>
      <w:bookmarkEnd w:id="198"/>
      <w:bookmarkEnd w:id="199"/>
    </w:p>
    <w:tbl>
      <w:tblPr>
        <w:tblStyle w:val="225"/>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782"/>
        <w:gridCol w:w="1555"/>
        <w:gridCol w:w="1555"/>
        <w:gridCol w:w="1556"/>
        <w:gridCol w:w="1556"/>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学院</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职业前景</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工作薪酬</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经济与管理学院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90.20%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82.35%</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电子信息工程学院</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93.68%</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90.53%</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87.37%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95.79%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师范学院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85.56%</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77.78%</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70.45%</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94.38%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医学院</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90.12%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91.25%</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73.17%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化工与药学院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84.09%</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80.68%</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80.90%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艺术学院</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87.50%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81.69%</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83.33%</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92.96%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外国语学院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92.59%</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90.38%</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83.33%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92.59%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计算机工程学院</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85.92%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84.29%</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84.51%</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91.43%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文学与传媒学院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83.33%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68.33%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68.33%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机械工程学院</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86.21%</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79.31%</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81.03%</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86.21%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生物工程学院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81.48%</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77.78%</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66.67%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81.48%</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数理学院等</w:t>
      </w:r>
      <w:r>
        <w:rPr>
          <w:color w:val="0F6FC6" w:themeColor="accent5"/>
          <w14:textFill>
            <w14:solidFill>
              <w14:schemeClr w14:val="accent5"/>
            </w14:solidFill>
          </w14:textFill>
        </w:rPr>
        <w:t>样本量较小，不纳入到报告的分析范围。</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after="163"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主要专业工作满意度：</w:t>
      </w:r>
      <w:bookmarkStart w:id="200" w:name="_Hlk81237864"/>
      <w:r>
        <w:rPr>
          <w:rFonts w:hint="eastAsia" w:asciiTheme="minorEastAsia" w:hAnsiTheme="minorEastAsia"/>
          <w:color w:val="000000" w:themeColor="text1"/>
          <w:szCs w:val="21"/>
          <w14:textFill>
            <w14:solidFill>
              <w14:schemeClr w14:val="tx1"/>
            </w14:solidFill>
          </w14:textFill>
        </w:rPr>
        <w:t>从工作总体满意度来看，</w:t>
      </w:r>
      <w:bookmarkStart w:id="201" w:name="_Toc521678852"/>
      <w:bookmarkStart w:id="202" w:name="_Toc521676327"/>
      <w:r>
        <w:rPr>
          <w:rFonts w:ascii="Times New Roman" w:hAnsi="Times New Roman"/>
          <w:color w:val="000000" w:themeColor="text1"/>
          <w:szCs w:val="21"/>
          <w14:textFill>
            <w14:solidFill>
              <w14:schemeClr w14:val="tx1"/>
            </w14:solidFill>
          </w14:textFill>
        </w:rPr>
        <w:t>飞行器制造工程（100.00%）、康复治疗学（100.00%）、数字媒体技术（100.00%）</w:t>
      </w:r>
      <w:r>
        <w:rPr>
          <w:rFonts w:hint="eastAsia" w:ascii="Times New Roman" w:hAnsi="Times New Roman"/>
          <w:color w:val="000000" w:themeColor="text1"/>
          <w:szCs w:val="21"/>
          <w14:textFill>
            <w14:solidFill>
              <w14:schemeClr w14:val="tx1"/>
            </w14:solidFill>
          </w14:textFill>
        </w:rPr>
        <w:t>等</w:t>
      </w:r>
      <w:r>
        <w:rPr>
          <w:rFonts w:hint="eastAsia" w:asciiTheme="minorEastAsia" w:hAnsiTheme="minorEastAsia"/>
          <w:color w:val="000000" w:themeColor="text1"/>
          <w:szCs w:val="21"/>
          <w14:textFill>
            <w14:solidFill>
              <w14:schemeClr w14:val="tx1"/>
            </w14:solidFill>
          </w14:textFill>
        </w:rPr>
        <w:t>专业的本科毕业生的工作满意度相对较高。</w:t>
      </w:r>
    </w:p>
    <w:bookmarkEnd w:id="200"/>
    <w:p>
      <w:pPr>
        <w:pStyle w:val="180"/>
      </w:pPr>
      <w:r>
        <w:t xml:space="preserve">表4- </w:t>
      </w:r>
      <w:r>
        <w:fldChar w:fldCharType="begin"/>
      </w:r>
      <w:r>
        <w:instrText xml:space="preserve"> SEQ 表3- \* ARABIC </w:instrText>
      </w:r>
      <w:r>
        <w:fldChar w:fldCharType="separate"/>
      </w:r>
      <w:r>
        <w:t>5</w:t>
      </w:r>
      <w:r>
        <w:fldChar w:fldCharType="end"/>
      </w:r>
      <w:r>
        <w:t xml:space="preserve">  </w:t>
      </w:r>
      <w:r>
        <w:rPr>
          <w:rFonts w:hint="eastAsia"/>
        </w:rPr>
        <w:t>2021届主要专业本科毕业生工作满意度</w:t>
      </w:r>
      <w:r>
        <w:t>评价</w:t>
      </w:r>
      <w:bookmarkEnd w:id="201"/>
      <w:bookmarkEnd w:id="202"/>
    </w:p>
    <w:tbl>
      <w:tblPr>
        <w:tblStyle w:val="225"/>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361"/>
        <w:gridCol w:w="1410"/>
        <w:gridCol w:w="1411"/>
        <w:gridCol w:w="1411"/>
        <w:gridCol w:w="141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职业前景</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工作薪酬</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飞行器制造工程</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康复治疗学</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数字媒体技术</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93.75%</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财务管理</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91.18%</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81.82%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75.76%</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97.06%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英语</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93.75%</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93.75%</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87.50%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物联网工程</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96.55%</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93.10%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音乐表演</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82.76%</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83.33%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化学工程与工艺</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92.31%</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83.33%</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84.62%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电气工程及其自动化</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93.62%</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95.74%</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91.30%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95.74%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广播电视编导</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75.00%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护理学</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95.00%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65.00%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印刷工程</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89.47%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73.68%</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78.95%</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94.74%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学前教育</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84.21%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73.68%</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72.22%</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94.59%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小学教育</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86.54%</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80.77%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69.23%</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94.23%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信息管理与信息系统</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85.71%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85.71%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85.71%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口腔医学</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90.20%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96.00%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76.92%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92.31%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过程装备与控制工程</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92.31%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92.31%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76.92%</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92.31%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制药工程</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83.78%</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81.58%</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81.58%</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91.89%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复合材料与工程</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58.33%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61.54%</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75.00%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91.67%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工业设计</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汉语言文学</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82.14%</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75.00%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64.29%</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89.29%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计算机科学与技术</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80.49%</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82.93%</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80.49%</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食品科学与工程</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73.33%</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66.67%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视觉传达设计</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商务英语</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90.91%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85.00%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77.27%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86.36%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材料成型及控制工程</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92.31%</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84.62%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76.92%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机械设计制造及其自动化</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76.00%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84.00%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网络与新媒体</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75.00%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66.67%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66.67%</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cs="Times New Roman"/>
                <w:bCs/>
                <w:sz w:val="21"/>
                <w:szCs w:val="21"/>
              </w:rPr>
              <w:t>75.00%</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产品设计、物流管理、植物科学与技术、数学与应用数学、环境设计、市场营销、应用物理学、机械电子工程、生物工程</w:t>
      </w:r>
      <w:r>
        <w:rPr>
          <w:color w:val="0F6FC6" w:themeColor="accent5"/>
          <w14:textFill>
            <w14:solidFill>
              <w14:schemeClr w14:val="accent5"/>
            </w14:solidFill>
          </w14:textFill>
        </w:rPr>
        <w:t>等专业样本量较小，不纳入到报告的分析范围。</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35"/>
        <w:spacing w:before="156" w:beforeLines="50"/>
        <w:ind w:firstLine="482"/>
      </w:pPr>
      <w:r>
        <w:rPr>
          <w:rFonts w:hint="eastAsia"/>
          <w:b/>
          <w:color w:val="0F6FC6" w:themeColor="accent5"/>
          <w14:textFill>
            <w14:solidFill>
              <w14:schemeClr w14:val="accent5"/>
            </w14:solidFill>
          </w14:textFill>
        </w:rPr>
        <w:t>主要就业行业的工作满意度：</w:t>
      </w:r>
      <w:r>
        <w:rPr>
          <w:rFonts w:hint="eastAsia"/>
        </w:rPr>
        <w:t>就业于“公共管理、社会保障和社会组织”（100.00%</w:t>
      </w:r>
      <w:r>
        <w:t>）</w:t>
      </w:r>
      <w:r>
        <w:rPr>
          <w:rFonts w:hint="eastAsia"/>
        </w:rPr>
        <w:t>的本科毕业生对目前</w:t>
      </w:r>
      <w:r>
        <w:rPr>
          <w:rFonts w:hint="eastAsia" w:asciiTheme="minorEastAsia" w:hAnsiTheme="minorEastAsia"/>
        </w:rPr>
        <w:t>工作</w:t>
      </w:r>
      <w:r>
        <w:rPr>
          <w:rFonts w:hint="eastAsia"/>
        </w:rPr>
        <w:t>满意度评价相对较高；而就业于“制造业”</w:t>
      </w:r>
      <w:bookmarkStart w:id="203" w:name="_Hlk81237897"/>
      <w:r>
        <w:rPr>
          <w:rFonts w:hint="eastAsia"/>
        </w:rPr>
        <w:t>（89.15%）</w:t>
      </w:r>
      <w:bookmarkEnd w:id="203"/>
      <w:r>
        <w:rPr>
          <w:rFonts w:hint="eastAsia"/>
        </w:rPr>
        <w:t>的本科毕业生对目前</w:t>
      </w:r>
      <w:r>
        <w:t>工作</w:t>
      </w:r>
      <w:r>
        <w:rPr>
          <w:rFonts w:hint="eastAsia"/>
        </w:rPr>
        <w:t>满意度评价相对较低。</w:t>
      </w:r>
    </w:p>
    <w:p>
      <w:pPr>
        <w:pStyle w:val="135"/>
        <w:ind w:firstLine="0" w:firstLineChars="0"/>
        <w:rPr>
          <w:rFonts w:asciiTheme="minorEastAsia" w:hAnsiTheme="minorEastAsia"/>
          <w:color w:val="0F6FC6" w:themeColor="accent5"/>
          <w14:textFill>
            <w14:solidFill>
              <w14:schemeClr w14:val="accent5"/>
            </w14:solidFill>
          </w14:textFill>
        </w:rPr>
      </w:pPr>
      <w:r>
        <w:drawing>
          <wp:inline distT="0" distB="0" distL="0" distR="0">
            <wp:extent cx="5518785" cy="3476625"/>
            <wp:effectExtent l="0" t="0" r="5715" b="317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180"/>
      </w:pPr>
      <w:bookmarkStart w:id="204" w:name="_Toc521678853"/>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5</w:t>
      </w:r>
      <w:r>
        <w:fldChar w:fldCharType="end"/>
      </w:r>
      <w:r>
        <w:rPr>
          <w:rFonts w:hint="eastAsia"/>
        </w:rPr>
        <w:t xml:space="preserve">  2021届本科毕业生主要就业行业的工作满意度分布</w:t>
      </w:r>
      <w:bookmarkEnd w:id="204"/>
      <w:r>
        <w:rPr>
          <w:rFonts w:hint="eastAsia"/>
        </w:rPr>
        <w:t xml:space="preserve"> </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注：主要就业行业指就业人数≥20人的行业。</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51"/>
        <w:rPr>
          <w:color w:val="0F6FC6" w:themeColor="accent5"/>
          <w14:textFill>
            <w14:solidFill>
              <w14:schemeClr w14:val="accent5"/>
            </w14:solidFill>
          </w14:textFill>
        </w:rPr>
      </w:pPr>
      <w:bookmarkStart w:id="205" w:name="_Toc81325058"/>
      <w:bookmarkStart w:id="206" w:name="_Toc92706745"/>
      <w:bookmarkStart w:id="207" w:name="_Toc487790088"/>
      <w:bookmarkStart w:id="208" w:name="_Toc487789907"/>
      <w:bookmarkStart w:id="209" w:name="_Toc496017580"/>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毕业生发展成长度</w:t>
      </w:r>
      <w:bookmarkEnd w:id="205"/>
      <w:bookmarkEnd w:id="206"/>
    </w:p>
    <w:bookmarkEnd w:id="207"/>
    <w:bookmarkEnd w:id="208"/>
    <w:bookmarkEnd w:id="209"/>
    <w:p>
      <w:pPr>
        <w:pStyle w:val="178"/>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pPr>
        <w:spacing w:before="156" w:beforeLines="50" w:after="120" w:line="360" w:lineRule="auto"/>
        <w:ind w:firstLine="480"/>
        <w:jc w:val="both"/>
        <w:rPr>
          <w:rFonts w:asciiTheme="minorEastAsia" w:hAnsiTheme="minorEastAsia" w:eastAsiaTheme="minorEastAsia"/>
          <w:b/>
          <w:bCs/>
          <w:color w:val="0F6FC6" w:themeColor="accent5"/>
          <w14:textFill>
            <w14:solidFill>
              <w14:schemeClr w14:val="accent5"/>
            </w14:solidFill>
          </w14:textFill>
        </w:rPr>
      </w:pPr>
      <w:r>
        <w:rPr>
          <w:rFonts w:ascii="Times New Roman" w:hAnsi="Times New Roman" w:eastAsiaTheme="minorEastAsia"/>
          <w:b/>
          <w:bCs/>
          <w:color w:val="0F6FC6" w:themeColor="accent5"/>
          <w14:textFill>
            <w14:solidFill>
              <w14:schemeClr w14:val="accent5"/>
            </w14:solidFill>
          </w14:textFill>
        </w:rPr>
        <w:t>1.</w:t>
      </w:r>
      <w:r>
        <w:rPr>
          <w:rFonts w:hint="eastAsia" w:asciiTheme="minorEastAsia" w:hAnsiTheme="minorEastAsia" w:eastAsiaTheme="minorEastAsia"/>
          <w:b/>
          <w:bCs/>
          <w:color w:val="0F6FC6" w:themeColor="accent5"/>
          <w14:textFill>
            <w14:solidFill>
              <w14:schemeClr w14:val="accent5"/>
            </w14:solidFill>
          </w14:textFill>
        </w:rPr>
        <w:t>职业期待吻合度</w:t>
      </w:r>
    </w:p>
    <w:p>
      <w:pPr>
        <w:spacing w:before="156" w:beforeLines="50" w:after="120" w:line="360" w:lineRule="auto"/>
        <w:ind w:firstLine="480"/>
        <w:jc w:val="both"/>
        <w:rPr>
          <w:rFonts w:asciiTheme="minorEastAsia" w:hAnsiTheme="minorEastAsia" w:eastAsiaTheme="minorEastAsia"/>
          <w:color w:val="000000" w:themeColor="text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总体</w:t>
      </w:r>
      <w:r>
        <w:rPr>
          <w:rFonts w:ascii="Times New Roman" w:hAnsi="Times New Roman" w:cstheme="minorBidi"/>
          <w:b/>
          <w:color w:val="0F6FC6" w:themeColor="accent5"/>
          <w14:textFill>
            <w14:solidFill>
              <w14:schemeClr w14:val="accent5"/>
            </w14:solidFill>
          </w14:textFill>
        </w:rPr>
        <w:t>职业期待吻合度：</w:t>
      </w:r>
      <w:r>
        <w:rPr>
          <w:rFonts w:ascii="Times New Roman" w:hAnsi="Times New Roman"/>
          <w:color w:val="000000" w:themeColor="text1"/>
          <w14:textFill>
            <w14:solidFill>
              <w14:schemeClr w14:val="tx1"/>
            </w14:solidFill>
          </w14:textFill>
        </w:rPr>
        <w:t>2021届</w:t>
      </w:r>
      <w:r>
        <w:rPr>
          <w:rFonts w:hint="eastAsia" w:asciiTheme="minorEastAsia" w:hAnsiTheme="minorEastAsia" w:eastAsiaTheme="minorEastAsia"/>
          <w:color w:val="000000" w:themeColor="text1"/>
          <w14:textFill>
            <w14:solidFill>
              <w14:schemeClr w14:val="tx1"/>
            </w14:solidFill>
          </w14:textFill>
        </w:rPr>
        <w:t>本科毕业生目前所从事的工作与自身职业期待的吻合度为</w:t>
      </w:r>
      <w:r>
        <w:rPr>
          <w:rFonts w:hint="eastAsia" w:ascii="Times New Roman" w:hAnsi="Times New Roman"/>
          <w:color w:val="000000" w:themeColor="text1"/>
          <w14:textFill>
            <w14:solidFill>
              <w14:schemeClr w14:val="tx1"/>
            </w14:solidFill>
          </w14:textFill>
        </w:rPr>
        <w:t>84.49%</w:t>
      </w:r>
      <w:r>
        <w:rPr>
          <w:rFonts w:hint="eastAsia" w:asciiTheme="minorEastAsia" w:hAnsiTheme="minorEastAsia" w:eastAsiaTheme="minorEastAsia"/>
          <w:color w:val="000000" w:themeColor="text1"/>
          <w14:textFill>
            <w14:solidFill>
              <w14:schemeClr w14:val="tx1"/>
            </w14:solidFill>
          </w14:textFill>
        </w:rPr>
        <w:t>，其中“很符合”所占比为</w:t>
      </w:r>
      <w:r>
        <w:rPr>
          <w:rFonts w:hint="eastAsia" w:ascii="Times New Roman" w:hAnsi="Times New Roman"/>
          <w:color w:val="000000" w:themeColor="text1"/>
          <w14:textFill>
            <w14:solidFill>
              <w14:schemeClr w14:val="tx1"/>
            </w14:solidFill>
          </w14:textFill>
        </w:rPr>
        <w:t>12.09%</w:t>
      </w:r>
      <w:r>
        <w:rPr>
          <w:rFonts w:hint="eastAsia" w:ascii="Times New Roman" w:hAnsi="Times New Roman"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“符合”所占比例为</w:t>
      </w:r>
      <w:r>
        <w:rPr>
          <w:rFonts w:hint="eastAsia" w:ascii="Times New Roman" w:hAnsi="Times New Roman"/>
          <w:color w:val="000000" w:themeColor="text1"/>
          <w14:textFill>
            <w14:solidFill>
              <w14:schemeClr w14:val="tx1"/>
            </w14:solidFill>
          </w14:textFill>
        </w:rPr>
        <w:t>24.84%</w:t>
      </w:r>
      <w:r>
        <w:rPr>
          <w:rFonts w:hint="eastAsia" w:asciiTheme="minorEastAsia" w:hAnsiTheme="minorEastAsia" w:eastAsiaTheme="minorEastAsia"/>
          <w:color w:val="000000" w:themeColor="text1"/>
          <w14:textFill>
            <w14:solidFill>
              <w14:schemeClr w14:val="tx1"/>
            </w14:solidFill>
          </w14:textFill>
        </w:rPr>
        <w:t>；可见目前已落实的工作整体比较符合自身的就业期望。</w:t>
      </w:r>
    </w:p>
    <w:p>
      <w:pPr>
        <w:spacing w:before="156" w:beforeLines="50" w:after="120" w:line="360" w:lineRule="auto"/>
        <w:jc w:val="center"/>
        <w:rPr>
          <w:rFonts w:asciiTheme="minorEastAsia" w:hAnsiTheme="minorEastAsia" w:eastAsiaTheme="minorEastAsia"/>
          <w:color w:val="000000" w:themeColor="text1"/>
          <w14:textFill>
            <w14:solidFill>
              <w14:schemeClr w14:val="tx1"/>
            </w14:solidFill>
          </w14:textFill>
        </w:rPr>
      </w:pPr>
      <w:r>
        <w:drawing>
          <wp:inline distT="0" distB="0" distL="0" distR="0">
            <wp:extent cx="4286250" cy="17907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180"/>
      </w:pPr>
      <w:bookmarkStart w:id="210" w:name="_Toc521678854"/>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6</w:t>
      </w:r>
      <w:r>
        <w:fldChar w:fldCharType="end"/>
      </w:r>
      <w:r>
        <w:rPr>
          <w:rFonts w:hint="eastAsia"/>
        </w:rPr>
        <w:t xml:space="preserve">  </w:t>
      </w:r>
      <w:r>
        <w:t>2021届</w:t>
      </w:r>
      <w:r>
        <w:rPr>
          <w:rFonts w:hint="eastAsia"/>
        </w:rPr>
        <w:t>本科</w:t>
      </w:r>
      <w:r>
        <w:t>毕业生职业期待吻合情况</w:t>
      </w:r>
      <w:bookmarkEnd w:id="210"/>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职业期待吻合度评价维度包括“很符合”、“符合”、“基本符合”、“不符合”、“很不符合”和“无法评价”；其中，吻合度为选择“很符合”、“符合”和“基本符合”的人数占“此题总人数—无法评价人数”的比例。</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after="120" w:line="360" w:lineRule="auto"/>
        <w:ind w:firstLine="480"/>
        <w:jc w:val="both"/>
        <w:rPr>
          <w:rFonts w:ascii="Times New Roman" w:hAnsi="Times New Roman" w:eastAsiaTheme="minorEastAsia"/>
          <w:b/>
          <w:bCs/>
          <w:color w:val="0F6FC6" w:themeColor="accent5"/>
          <w14:textFill>
            <w14:solidFill>
              <w14:schemeClr w14:val="accent5"/>
            </w14:solidFill>
          </w14:textFill>
        </w:rPr>
      </w:pPr>
      <w:r>
        <w:rPr>
          <w:rFonts w:ascii="Times New Roman" w:hAnsi="Times New Roman" w:eastAsiaTheme="minorEastAsia"/>
          <w:b/>
          <w:bCs/>
          <w:color w:val="0F6FC6" w:themeColor="accent5"/>
          <w14:textFill>
            <w14:solidFill>
              <w14:schemeClr w14:val="accent5"/>
            </w14:solidFill>
          </w14:textFill>
        </w:rPr>
        <w:t>2.</w:t>
      </w:r>
      <w:r>
        <w:rPr>
          <w:rFonts w:hint="eastAsia" w:ascii="Times New Roman" w:hAnsi="Times New Roman" w:eastAsiaTheme="minorEastAsia"/>
          <w:b/>
          <w:bCs/>
          <w:color w:val="0F6FC6" w:themeColor="accent5"/>
          <w14:textFill>
            <w14:solidFill>
              <w14:schemeClr w14:val="accent5"/>
            </w14:solidFill>
          </w14:textFill>
        </w:rPr>
        <w:t>工作稳定性</w:t>
      </w:r>
    </w:p>
    <w:p>
      <w:pPr>
        <w:pStyle w:val="112"/>
        <w:rPr>
          <w:lang w:val="en-US"/>
        </w:rPr>
      </w:pPr>
      <w:r>
        <w:rPr>
          <w:rFonts w:hint="eastAsia"/>
        </w:rPr>
        <w:t>本校</w:t>
      </w:r>
      <w:r>
        <w:rPr>
          <w:rFonts w:hint="eastAsia"/>
          <w:lang w:val="en-US"/>
        </w:rPr>
        <w:t>2021</w:t>
      </w:r>
      <w:r>
        <w:rPr>
          <w:rFonts w:hint="eastAsia"/>
        </w:rPr>
        <w:t>届本科毕业生的离职率为</w:t>
      </w:r>
      <w:r>
        <w:rPr>
          <w:rFonts w:hint="eastAsia"/>
          <w:lang w:val="en-US"/>
        </w:rPr>
        <w:t>18.35%，</w:t>
      </w:r>
      <w:r>
        <w:rPr>
          <w:rFonts w:hint="eastAsia"/>
        </w:rPr>
        <w:t>离职次数集中在</w:t>
      </w:r>
      <w:r>
        <w:rPr>
          <w:rFonts w:hint="eastAsia"/>
          <w:lang w:val="en-US"/>
        </w:rPr>
        <w:t>1次</w:t>
      </w:r>
      <w:r>
        <w:rPr>
          <w:rFonts w:hint="eastAsia"/>
        </w:rPr>
        <w:t>。</w:t>
      </w:r>
      <w:bookmarkStart w:id="211" w:name="_Toc509483462"/>
      <w:bookmarkStart w:id="212" w:name="_Toc21954445"/>
      <w:bookmarkStart w:id="213" w:name="_Toc21968830"/>
      <w:bookmarkStart w:id="214" w:name="_Toc509389342"/>
    </w:p>
    <w:p>
      <w:pPr>
        <w:pStyle w:val="180"/>
      </w:pPr>
      <w:r>
        <w:rPr>
          <w:color w:val="000000"/>
          <w:sz w:val="24"/>
          <w:szCs w:val="24"/>
          <w:lang w:val="en-US"/>
        </w:rPr>
        <w:drawing>
          <wp:inline distT="0" distB="0" distL="0" distR="0">
            <wp:extent cx="3776345" cy="2159635"/>
            <wp:effectExtent l="0" t="0" r="14605" b="12065"/>
            <wp:docPr id="1387" name="图表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180"/>
      </w:pPr>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7</w:t>
      </w:r>
      <w:r>
        <w:fldChar w:fldCharType="end"/>
      </w:r>
      <w:r>
        <w:rPr>
          <w:rFonts w:hint="eastAsia"/>
        </w:rPr>
        <w:t xml:space="preserve">  </w:t>
      </w:r>
      <w:r>
        <w:t>2021届</w:t>
      </w:r>
      <w:r>
        <w:rPr>
          <w:rFonts w:hint="eastAsia"/>
        </w:rPr>
        <w:t>本科毕业生离职情况分布</w:t>
      </w:r>
      <w:bookmarkEnd w:id="211"/>
      <w:bookmarkEnd w:id="212"/>
      <w:bookmarkEnd w:id="213"/>
      <w:bookmarkEnd w:id="214"/>
    </w:p>
    <w:p>
      <w:pPr>
        <w:pStyle w:val="131"/>
        <w:ind w:firstLine="360" w:firstLineChars="2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72"/>
        <w:spacing w:before="156" w:after="156"/>
        <w:ind w:firstLine="360" w:firstLineChars="150"/>
        <w:jc w:val="both"/>
        <w:outlineLvl w:val="9"/>
        <w:rPr>
          <w:rFonts w:ascii="Times New Roman" w:hAnsi="Times New Roman" w:eastAsia="宋体" w:cstheme="minorBidi"/>
          <w:bCs w:val="0"/>
          <w:color w:val="0F6FC6" w:themeColor="accent5"/>
          <w:sz w:val="24"/>
          <w:szCs w:val="24"/>
          <w:lang w:val="en-US"/>
          <w14:textFill>
            <w14:solidFill>
              <w14:schemeClr w14:val="accent5"/>
            </w14:solidFill>
          </w14:textFill>
        </w:rPr>
      </w:pPr>
    </w:p>
    <w:p>
      <w:pPr>
        <w:pStyle w:val="151"/>
        <w:rPr>
          <w:color w:val="0F6FC6" w:themeColor="accent5"/>
          <w14:textFill>
            <w14:solidFill>
              <w14:schemeClr w14:val="accent5"/>
            </w14:solidFill>
          </w14:textFill>
        </w:rPr>
      </w:pPr>
      <w:bookmarkStart w:id="215" w:name="_Toc92706746"/>
      <w:r>
        <w:rPr>
          <w:rFonts w:hint="eastAsia"/>
          <w:color w:val="0F6FC6" w:themeColor="accent5"/>
          <w14:textFill>
            <w14:solidFill>
              <w14:schemeClr w14:val="accent5"/>
            </w14:solidFill>
          </w14:textFill>
        </w:rPr>
        <w:t>（五）薪酬水平</w:t>
      </w:r>
      <w:bookmarkEnd w:id="215"/>
    </w:p>
    <w:p>
      <w:pPr>
        <w:pStyle w:val="72"/>
        <w:spacing w:before="156" w:after="156"/>
        <w:ind w:firstLine="360" w:firstLineChars="150"/>
        <w:jc w:val="both"/>
        <w:outlineLvl w:val="9"/>
        <w:rPr>
          <w:rFonts w:ascii="Times New Roman" w:hAnsi="Times New Roman" w:eastAsiaTheme="minorEastAsia"/>
          <w:b w:val="0"/>
          <w:color w:val="auto"/>
          <w:sz w:val="24"/>
          <w:szCs w:val="24"/>
          <w:lang w:val="en-US"/>
        </w:rPr>
      </w:pPr>
      <w:r>
        <w:rPr>
          <w:rFonts w:ascii="Times New Roman" w:hAnsi="Times New Roman" w:eastAsia="宋体" w:cstheme="minorBidi"/>
          <w:bCs w:val="0"/>
          <w:color w:val="0F6FC6" w:themeColor="accent5"/>
          <w:sz w:val="24"/>
          <w:szCs w:val="24"/>
          <w:lang w:val="en-US"/>
          <w14:textFill>
            <w14:solidFill>
              <w14:schemeClr w14:val="accent5"/>
            </w14:solidFill>
          </w14:textFill>
        </w:rPr>
        <w:t>薪酬区间：</w:t>
      </w:r>
      <w:r>
        <w:rPr>
          <w:rFonts w:hint="eastAsia" w:ascii="Times New Roman" w:hAnsi="Times New Roman" w:eastAsiaTheme="minorEastAsia"/>
          <w:b w:val="0"/>
          <w:color w:val="auto"/>
          <w:sz w:val="24"/>
          <w:szCs w:val="24"/>
          <w:lang w:val="en-US"/>
        </w:rPr>
        <w:t>学校</w:t>
      </w:r>
      <w:r>
        <w:rPr>
          <w:rFonts w:ascii="Times New Roman" w:hAnsi="Times New Roman" w:eastAsia="宋体"/>
          <w:b w:val="0"/>
          <w:color w:val="auto"/>
          <w:sz w:val="24"/>
          <w:szCs w:val="24"/>
          <w:lang w:val="en-US"/>
        </w:rPr>
        <w:t>2021届</w:t>
      </w:r>
      <w:r>
        <w:rPr>
          <w:rFonts w:hint="eastAsia" w:ascii="Times New Roman" w:hAnsi="Times New Roman" w:eastAsiaTheme="minorEastAsia"/>
          <w:b w:val="0"/>
          <w:color w:val="auto"/>
          <w:sz w:val="24"/>
          <w:szCs w:val="24"/>
          <w:lang w:val="en-US"/>
        </w:rPr>
        <w:t>本</w:t>
      </w:r>
      <w:r>
        <w:rPr>
          <w:rFonts w:ascii="Times New Roman" w:hAnsi="Times New Roman" w:eastAsiaTheme="minorEastAsia"/>
          <w:b w:val="0"/>
          <w:color w:val="auto"/>
          <w:sz w:val="24"/>
          <w:szCs w:val="24"/>
          <w:lang w:val="en-US"/>
        </w:rPr>
        <w:t>科毕业生月均收入相对较高，为</w:t>
      </w:r>
      <w:r>
        <w:rPr>
          <w:rFonts w:ascii="Times New Roman" w:hAnsi="Times New Roman" w:eastAsia="宋体"/>
          <w:b w:val="0"/>
          <w:color w:val="auto"/>
          <w:sz w:val="24"/>
          <w:szCs w:val="24"/>
          <w:lang w:val="en-US"/>
        </w:rPr>
        <w:t>4921.77</w:t>
      </w:r>
      <w:r>
        <w:rPr>
          <w:rFonts w:hint="eastAsia" w:ascii="Times New Roman" w:hAnsi="Times New Roman" w:eastAsiaTheme="minorEastAsia"/>
          <w:b w:val="0"/>
          <w:color w:val="auto"/>
          <w:sz w:val="24"/>
          <w:szCs w:val="24"/>
          <w:lang w:val="en-US"/>
        </w:rPr>
        <w:t>元；</w:t>
      </w:r>
      <w:r>
        <w:rPr>
          <w:rFonts w:ascii="Times New Roman" w:hAnsi="Times New Roman" w:eastAsiaTheme="minorEastAsia"/>
          <w:b w:val="0"/>
          <w:color w:val="auto"/>
          <w:sz w:val="24"/>
          <w:szCs w:val="24"/>
          <w:lang w:val="en-US"/>
        </w:rPr>
        <w:t>其中</w:t>
      </w:r>
      <w:r>
        <w:rPr>
          <w:rFonts w:ascii="Times New Roman" w:hAnsi="Times New Roman" w:eastAsia="宋体"/>
          <w:b w:val="0"/>
          <w:color w:val="auto"/>
          <w:sz w:val="24"/>
          <w:szCs w:val="24"/>
          <w:lang w:val="en-US"/>
        </w:rPr>
        <w:t>42.33%</w:t>
      </w:r>
      <w:r>
        <w:rPr>
          <w:rFonts w:ascii="Times New Roman" w:hAnsi="Times New Roman" w:eastAsiaTheme="minorEastAsia"/>
          <w:b w:val="0"/>
          <w:color w:val="auto"/>
          <w:sz w:val="24"/>
          <w:szCs w:val="24"/>
          <w:lang w:val="en-US"/>
        </w:rPr>
        <w:t>的</w:t>
      </w:r>
      <w:r>
        <w:rPr>
          <w:rFonts w:hint="eastAsia" w:ascii="Times New Roman" w:hAnsi="Times New Roman" w:eastAsiaTheme="minorEastAsia"/>
          <w:b w:val="0"/>
          <w:color w:val="auto"/>
          <w:sz w:val="24"/>
          <w:szCs w:val="24"/>
          <w:lang w:val="en-US"/>
        </w:rPr>
        <w:t>本</w:t>
      </w:r>
      <w:r>
        <w:rPr>
          <w:rFonts w:ascii="Times New Roman" w:hAnsi="Times New Roman" w:eastAsiaTheme="minorEastAsia"/>
          <w:b w:val="0"/>
          <w:color w:val="auto"/>
          <w:sz w:val="24"/>
          <w:szCs w:val="24"/>
          <w:lang w:val="en-US"/>
        </w:rPr>
        <w:t>科毕业生月均收入在</w:t>
      </w:r>
      <w:r>
        <w:rPr>
          <w:rFonts w:hint="eastAsia" w:ascii="Times New Roman" w:hAnsi="Times New Roman" w:eastAsia="宋体"/>
          <w:b w:val="0"/>
          <w:color w:val="auto"/>
          <w:sz w:val="24"/>
          <w:szCs w:val="24"/>
          <w:lang w:val="en-US"/>
        </w:rPr>
        <w:t>3</w:t>
      </w:r>
      <w:r>
        <w:rPr>
          <w:rFonts w:ascii="Times New Roman" w:hAnsi="Times New Roman" w:eastAsia="宋体"/>
          <w:b w:val="0"/>
          <w:color w:val="auto"/>
          <w:sz w:val="24"/>
          <w:szCs w:val="24"/>
          <w:lang w:val="en-US"/>
        </w:rPr>
        <w:t>501</w:t>
      </w:r>
      <w:r>
        <w:rPr>
          <w:rFonts w:hint="eastAsia" w:ascii="Times New Roman" w:hAnsi="Times New Roman" w:eastAsiaTheme="minorEastAsia"/>
          <w:b w:val="0"/>
          <w:color w:val="auto"/>
          <w:sz w:val="24"/>
          <w:szCs w:val="24"/>
          <w:lang w:val="en-US"/>
        </w:rPr>
        <w:t>-</w:t>
      </w:r>
      <w:r>
        <w:rPr>
          <w:rFonts w:ascii="Times New Roman" w:hAnsi="Times New Roman" w:eastAsia="宋体"/>
          <w:b w:val="0"/>
          <w:color w:val="auto"/>
          <w:sz w:val="24"/>
          <w:szCs w:val="24"/>
          <w:lang w:val="en-US"/>
        </w:rPr>
        <w:t>50</w:t>
      </w:r>
      <w:r>
        <w:rPr>
          <w:rFonts w:hint="eastAsia" w:ascii="Times New Roman" w:hAnsi="Times New Roman" w:eastAsia="宋体"/>
          <w:b w:val="0"/>
          <w:color w:val="auto"/>
          <w:sz w:val="24"/>
          <w:szCs w:val="24"/>
          <w:lang w:val="en-US"/>
        </w:rPr>
        <w:t>00</w:t>
      </w:r>
      <w:r>
        <w:rPr>
          <w:rFonts w:hint="eastAsia" w:ascii="Times New Roman" w:hAnsi="Times New Roman" w:eastAsiaTheme="minorEastAsia"/>
          <w:b w:val="0"/>
          <w:color w:val="auto"/>
          <w:sz w:val="24"/>
          <w:szCs w:val="24"/>
          <w:lang w:val="en-US"/>
        </w:rPr>
        <w:t>元区间</w:t>
      </w:r>
      <w:r>
        <w:rPr>
          <w:rFonts w:ascii="Times New Roman" w:hAnsi="Times New Roman" w:eastAsiaTheme="minorEastAsia"/>
          <w:b w:val="0"/>
          <w:color w:val="auto"/>
          <w:sz w:val="24"/>
          <w:szCs w:val="24"/>
          <w:lang w:val="en-US"/>
        </w:rPr>
        <w:t>内</w:t>
      </w:r>
      <w:r>
        <w:rPr>
          <w:rFonts w:hint="eastAsia" w:ascii="Times New Roman" w:hAnsi="Times New Roman" w:eastAsiaTheme="minorEastAsia"/>
          <w:b w:val="0"/>
          <w:color w:val="auto"/>
          <w:sz w:val="24"/>
          <w:szCs w:val="24"/>
          <w:lang w:val="en-US"/>
        </w:rPr>
        <w:t>，</w:t>
      </w:r>
      <w:r>
        <w:rPr>
          <w:rFonts w:ascii="Times New Roman" w:hAnsi="Times New Roman" w:eastAsia="宋体"/>
          <w:b w:val="0"/>
          <w:color w:val="auto"/>
          <w:sz w:val="24"/>
          <w:szCs w:val="24"/>
          <w:lang w:val="en-US"/>
        </w:rPr>
        <w:t>20.72%</w:t>
      </w:r>
      <w:r>
        <w:rPr>
          <w:rFonts w:ascii="Times New Roman" w:hAnsi="Times New Roman" w:eastAsiaTheme="minorEastAsia"/>
          <w:b w:val="0"/>
          <w:color w:val="auto"/>
          <w:sz w:val="24"/>
          <w:szCs w:val="24"/>
          <w:lang w:val="en-US"/>
        </w:rPr>
        <w:t>的</w:t>
      </w:r>
      <w:r>
        <w:rPr>
          <w:rFonts w:hint="eastAsia" w:ascii="Times New Roman" w:hAnsi="Times New Roman" w:eastAsiaTheme="minorEastAsia"/>
          <w:b w:val="0"/>
          <w:color w:val="auto"/>
          <w:sz w:val="24"/>
          <w:szCs w:val="24"/>
          <w:lang w:val="en-US"/>
        </w:rPr>
        <w:t>本科</w:t>
      </w:r>
      <w:r>
        <w:rPr>
          <w:rFonts w:ascii="Times New Roman" w:hAnsi="Times New Roman" w:eastAsiaTheme="minorEastAsia"/>
          <w:b w:val="0"/>
          <w:color w:val="auto"/>
          <w:sz w:val="24"/>
          <w:szCs w:val="24"/>
          <w:lang w:val="en-US"/>
        </w:rPr>
        <w:t>毕业生月均收入在</w:t>
      </w:r>
      <w:r>
        <w:rPr>
          <w:rFonts w:ascii="Times New Roman" w:hAnsi="Times New Roman" w:eastAsia="宋体"/>
          <w:b w:val="0"/>
          <w:color w:val="auto"/>
          <w:sz w:val="24"/>
          <w:szCs w:val="24"/>
          <w:lang w:val="en-US"/>
        </w:rPr>
        <w:t>2001-3500</w:t>
      </w:r>
      <w:r>
        <w:rPr>
          <w:rFonts w:hint="eastAsia" w:ascii="Times New Roman" w:hAnsi="Times New Roman" w:eastAsiaTheme="minorEastAsia"/>
          <w:b w:val="0"/>
          <w:color w:val="auto"/>
          <w:sz w:val="24"/>
          <w:szCs w:val="24"/>
          <w:lang w:val="en-US"/>
        </w:rPr>
        <w:t>元</w:t>
      </w:r>
      <w:r>
        <w:rPr>
          <w:rFonts w:ascii="Times New Roman" w:hAnsi="Times New Roman" w:eastAsiaTheme="minorEastAsia"/>
          <w:b w:val="0"/>
          <w:color w:val="auto"/>
          <w:sz w:val="24"/>
          <w:szCs w:val="24"/>
          <w:lang w:val="en-US"/>
        </w:rPr>
        <w:t>之间。</w:t>
      </w:r>
    </w:p>
    <w:p>
      <w:pPr>
        <w:pStyle w:val="135"/>
        <w:ind w:firstLine="0" w:firstLineChars="0"/>
        <w:jc w:val="center"/>
      </w:pPr>
      <w:r>
        <w:drawing>
          <wp:inline distT="0" distB="0" distL="0" distR="0">
            <wp:extent cx="5048250" cy="1743075"/>
            <wp:effectExtent l="0" t="0" r="0"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180"/>
      </w:pPr>
      <w:bookmarkStart w:id="216" w:name="_Toc521678842"/>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8</w:t>
      </w:r>
      <w:r>
        <w:fldChar w:fldCharType="end"/>
      </w:r>
      <w:r>
        <w:t xml:space="preserve">  2021届</w:t>
      </w:r>
      <w:r>
        <w:rPr>
          <w:rFonts w:hint="eastAsia"/>
        </w:rPr>
        <w:t>本科毕业生薪酬</w:t>
      </w:r>
      <w:r>
        <w:t>区间</w:t>
      </w:r>
      <w:r>
        <w:rPr>
          <w:rFonts w:hint="eastAsia"/>
        </w:rPr>
        <w:t>分布</w:t>
      </w:r>
      <w:bookmarkEnd w:id="216"/>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after="163" w:line="360" w:lineRule="auto"/>
        <w:ind w:firstLine="420"/>
        <w:jc w:val="both"/>
        <w:rPr>
          <w:rFonts w:ascii="Times New Roman" w:hAnsi="Times New Roman"/>
          <w:color w:val="000000" w:themeColor="text1"/>
          <w:szCs w:val="21"/>
          <w14:textFill>
            <w14:solidFill>
              <w14:schemeClr w14:val="tx1"/>
            </w14:solidFill>
          </w14:textFill>
        </w:rPr>
      </w:pPr>
      <w:bookmarkStart w:id="217" w:name="_Toc403981282"/>
      <w:bookmarkStart w:id="218" w:name="_Toc408917458"/>
      <w:bookmarkStart w:id="219" w:name="_Toc408917172"/>
      <w:bookmarkStart w:id="220" w:name="_Toc404065276"/>
      <w:r>
        <w:rPr>
          <w:rFonts w:hint="eastAsia" w:ascii="Times New Roman" w:hAnsi="Times New Roman" w:cstheme="minorBidi"/>
          <w:b/>
          <w:color w:val="0F6FC6" w:themeColor="accent5"/>
          <w14:textFill>
            <w14:solidFill>
              <w14:schemeClr w14:val="accent5"/>
            </w14:solidFill>
          </w14:textFill>
        </w:rPr>
        <w:t>主要院系</w:t>
      </w:r>
      <w:r>
        <w:rPr>
          <w:rFonts w:ascii="Times New Roman" w:hAnsi="Times New Roman" w:cstheme="minorBidi"/>
          <w:b/>
          <w:color w:val="0F6FC6" w:themeColor="accent5"/>
          <w14:textFill>
            <w14:solidFill>
              <w14:schemeClr w14:val="accent5"/>
            </w14:solidFill>
          </w14:textFill>
        </w:rPr>
        <w:t>月均收入：</w:t>
      </w:r>
      <w:r>
        <w:rPr>
          <w:rFonts w:hint="eastAsia" w:ascii="Times New Roman" w:hAnsi="Times New Roman" w:cstheme="minorBidi"/>
          <w:color w:val="000000" w:themeColor="text1"/>
          <w14:textFill>
            <w14:solidFill>
              <w14:schemeClr w14:val="tx1"/>
            </w14:solidFill>
          </w14:textFill>
        </w:rPr>
        <w:t>计算机工程学院</w:t>
      </w:r>
      <w:r>
        <w:rPr>
          <w:rFonts w:hint="eastAsia" w:ascii="Times New Roman" w:hAnsi="Times New Roman" w:eastAsiaTheme="majorEastAsia"/>
          <w:color w:val="000000" w:themeColor="text1"/>
          <w:szCs w:val="21"/>
          <w14:textFill>
            <w14:solidFill>
              <w14:schemeClr w14:val="tx1"/>
            </w14:solidFill>
          </w14:textFill>
        </w:rPr>
        <w:t>毕业生月均收入水平相对较高，为</w:t>
      </w:r>
      <w:r>
        <w:rPr>
          <w:rFonts w:ascii="Times New Roman" w:hAnsi="Times New Roman" w:eastAsiaTheme="majorEastAsia"/>
          <w:color w:val="000000" w:themeColor="text1"/>
          <w:szCs w:val="21"/>
          <w14:textFill>
            <w14:solidFill>
              <w14:schemeClr w14:val="tx1"/>
            </w14:solidFill>
          </w14:textFill>
        </w:rPr>
        <w:t>6784.89</w:t>
      </w:r>
      <w:r>
        <w:rPr>
          <w:rFonts w:hint="eastAsia" w:ascii="Times New Roman" w:hAnsi="Times New Roman" w:eastAsiaTheme="majorEastAsia"/>
          <w:color w:val="000000" w:themeColor="text1"/>
          <w:szCs w:val="21"/>
          <w14:textFill>
            <w14:solidFill>
              <w14:schemeClr w14:val="tx1"/>
            </w14:solidFill>
          </w14:textFill>
        </w:rPr>
        <w:t>元；而师范学院毕业生月均收入水平相对较低，为</w:t>
      </w:r>
      <w:r>
        <w:rPr>
          <w:rFonts w:ascii="Times New Roman" w:hAnsi="Times New Roman" w:eastAsiaTheme="majorEastAsia"/>
          <w:color w:val="000000" w:themeColor="text1"/>
          <w:szCs w:val="21"/>
          <w14:textFill>
            <w14:solidFill>
              <w14:schemeClr w14:val="tx1"/>
            </w14:solidFill>
          </w14:textFill>
        </w:rPr>
        <w:t>3828.26</w:t>
      </w:r>
      <w:r>
        <w:rPr>
          <w:rFonts w:hint="eastAsia" w:ascii="Times New Roman" w:hAnsi="Times New Roman" w:eastAsiaTheme="majorEastAsia"/>
          <w:color w:val="000000" w:themeColor="text1"/>
          <w:szCs w:val="21"/>
          <w14:textFill>
            <w14:solidFill>
              <w14:schemeClr w14:val="tx1"/>
            </w14:solidFill>
          </w14:textFill>
        </w:rPr>
        <w:t>元</w:t>
      </w:r>
      <w:r>
        <w:rPr>
          <w:rFonts w:ascii="Times New Roman" w:hAnsi="Times New Roman" w:eastAsiaTheme="majorEastAsia"/>
          <w:color w:val="000000" w:themeColor="text1"/>
          <w:szCs w:val="21"/>
          <w14:textFill>
            <w14:solidFill>
              <w14:schemeClr w14:val="tx1"/>
            </w14:solidFill>
          </w14:textFill>
        </w:rPr>
        <w:t>。</w:t>
      </w:r>
    </w:p>
    <w:p>
      <w:pPr>
        <w:spacing w:after="163"/>
        <w:jc w:val="center"/>
        <w:rPr>
          <w:rFonts w:ascii="Times New Roman" w:hAnsi="Times New Roman"/>
          <w:szCs w:val="21"/>
        </w:rPr>
      </w:pPr>
      <w:r>
        <w:drawing>
          <wp:inline distT="0" distB="0" distL="0" distR="0">
            <wp:extent cx="5580380" cy="3980180"/>
            <wp:effectExtent l="0" t="0" r="1270" b="127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180"/>
      </w:pPr>
      <w:bookmarkStart w:id="221" w:name="_Toc521678843"/>
      <w:bookmarkStart w:id="222" w:name="_Toc449430849"/>
      <w:r>
        <w:t xml:space="preserve">图3- </w:t>
      </w:r>
      <w:r>
        <w:fldChar w:fldCharType="begin"/>
      </w:r>
      <w:r>
        <w:instrText xml:space="preserve"> SEQ 图3- \* ARABIC </w:instrText>
      </w:r>
      <w:r>
        <w:fldChar w:fldCharType="separate"/>
      </w:r>
      <w:r>
        <w:t>9</w:t>
      </w:r>
      <w:r>
        <w:fldChar w:fldCharType="end"/>
      </w:r>
      <w:r>
        <w:t xml:space="preserve">  2021届主要院系</w:t>
      </w:r>
      <w:r>
        <w:rPr>
          <w:rFonts w:hint="eastAsia"/>
        </w:rPr>
        <w:t>本科毕业生</w:t>
      </w:r>
      <w:r>
        <w:t>月均收入水平分布（单位：元）</w:t>
      </w:r>
      <w:bookmarkEnd w:id="221"/>
      <w:bookmarkEnd w:id="222"/>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数理学院</w:t>
      </w:r>
      <w:r>
        <w:rPr>
          <w:color w:val="0F6FC6" w:themeColor="accent5"/>
          <w14:textFill>
            <w14:solidFill>
              <w14:schemeClr w14:val="accent5"/>
            </w14:solidFill>
          </w14:textFill>
        </w:rPr>
        <w:t>样本量较小</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不纳入报告的分析范围。</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bookmarkEnd w:id="217"/>
    <w:bookmarkEnd w:id="218"/>
    <w:bookmarkEnd w:id="219"/>
    <w:bookmarkEnd w:id="220"/>
    <w:p>
      <w:pPr>
        <w:pStyle w:val="220"/>
        <w:ind w:firstLine="482"/>
      </w:pPr>
      <w:r>
        <w:rPr>
          <w:rFonts w:hint="eastAsia"/>
          <w:b/>
          <w:color w:val="0F6FC6" w:themeColor="accent5"/>
          <w14:textFill>
            <w14:solidFill>
              <w14:schemeClr w14:val="accent5"/>
            </w14:solidFill>
          </w14:textFill>
        </w:rPr>
        <w:t>主要专业</w:t>
      </w:r>
      <w:r>
        <w:rPr>
          <w:b/>
          <w:color w:val="0F6FC6" w:themeColor="accent5"/>
          <w14:textFill>
            <w14:solidFill>
              <w14:schemeClr w14:val="accent5"/>
            </w14:solidFill>
          </w14:textFill>
        </w:rPr>
        <w:t>月均收入：</w:t>
      </w:r>
      <w:bookmarkStart w:id="223" w:name="_Toc449430850"/>
      <w:r>
        <w:rPr>
          <w:rFonts w:hint="eastAsia"/>
          <w:color w:val="000000" w:themeColor="text1"/>
          <w14:textFill>
            <w14:solidFill>
              <w14:schemeClr w14:val="tx1"/>
            </w14:solidFill>
          </w14:textFill>
        </w:rPr>
        <w:t>计算机科学与技术</w:t>
      </w:r>
      <w:r>
        <w:rPr>
          <w:rFonts w:hint="eastAsia"/>
        </w:rPr>
        <w:t>专业</w:t>
      </w:r>
      <w:r>
        <w:t>毕业生</w:t>
      </w:r>
      <w:r>
        <w:rPr>
          <w:rFonts w:hint="eastAsia"/>
        </w:rPr>
        <w:t>月均</w:t>
      </w:r>
      <w:r>
        <w:t>收入水平相对</w:t>
      </w:r>
      <w:r>
        <w:rPr>
          <w:rFonts w:hint="eastAsia"/>
        </w:rPr>
        <w:t>较高</w:t>
      </w:r>
      <w:r>
        <w:t>，</w:t>
      </w:r>
      <w:r>
        <w:rPr>
          <w:rFonts w:hint="eastAsia"/>
        </w:rPr>
        <w:t>为</w:t>
      </w:r>
      <w:r>
        <w:t>7102.73</w:t>
      </w:r>
      <w:r>
        <w:rPr>
          <w:rFonts w:hint="eastAsia"/>
        </w:rPr>
        <w:t>元</w:t>
      </w:r>
      <w:r>
        <w:t>；</w:t>
      </w:r>
      <w:r>
        <w:rPr>
          <w:rFonts w:hint="eastAsia"/>
        </w:rPr>
        <w:t>而康复治疗学专业</w:t>
      </w:r>
      <w:r>
        <w:t>毕业生月均收入水平相对较低，</w:t>
      </w:r>
      <w:r>
        <w:rPr>
          <w:rFonts w:hint="eastAsia"/>
        </w:rPr>
        <w:t>为</w:t>
      </w:r>
      <w:r>
        <w:t>3520.00</w:t>
      </w:r>
      <w:r>
        <w:rPr>
          <w:rFonts w:hint="eastAsia"/>
        </w:rPr>
        <w:t>元</w:t>
      </w:r>
      <w:r>
        <w:t>。</w:t>
      </w:r>
    </w:p>
    <w:p>
      <w:pPr>
        <w:pStyle w:val="12"/>
        <w:spacing w:before="156" w:after="156"/>
        <w:rPr>
          <w:rStyle w:val="181"/>
          <w:b/>
          <w:bCs w:val="0"/>
        </w:rPr>
      </w:pPr>
      <w:r>
        <w:rPr>
          <w:rStyle w:val="181"/>
          <w:b/>
          <w:bCs w:val="0"/>
        </w:rPr>
        <w:t xml:space="preserve">表3- </w:t>
      </w:r>
      <w:r>
        <w:rPr>
          <w:rStyle w:val="181"/>
          <w:b/>
          <w:bCs w:val="0"/>
        </w:rPr>
        <w:fldChar w:fldCharType="begin"/>
      </w:r>
      <w:r>
        <w:rPr>
          <w:rStyle w:val="181"/>
          <w:b/>
          <w:bCs w:val="0"/>
        </w:rPr>
        <w:instrText xml:space="preserve"> SEQ 表3- \* ARABIC </w:instrText>
      </w:r>
      <w:r>
        <w:rPr>
          <w:rStyle w:val="181"/>
          <w:b/>
          <w:bCs w:val="0"/>
        </w:rPr>
        <w:fldChar w:fldCharType="separate"/>
      </w:r>
      <w:r>
        <w:rPr>
          <w:rStyle w:val="181"/>
          <w:b/>
          <w:bCs w:val="0"/>
        </w:rPr>
        <w:t>6</w:t>
      </w:r>
      <w:r>
        <w:rPr>
          <w:rStyle w:val="181"/>
          <w:b/>
          <w:bCs w:val="0"/>
        </w:rPr>
        <w:fldChar w:fldCharType="end"/>
      </w:r>
      <w:r>
        <w:rPr>
          <w:rStyle w:val="181"/>
          <w:b/>
          <w:bCs w:val="0"/>
        </w:rPr>
        <w:t xml:space="preserve">  </w:t>
      </w:r>
      <w:r>
        <w:rPr>
          <w:rStyle w:val="181"/>
          <w:rFonts w:hint="eastAsia"/>
          <w:b/>
          <w:bCs w:val="0"/>
        </w:rPr>
        <w:t>2021届主要专业本科毕业生月均收入水平分布（单位：元）</w:t>
      </w:r>
    </w:p>
    <w:tbl>
      <w:tblPr>
        <w:tblStyle w:val="235"/>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648"/>
        <w:gridCol w:w="4356"/>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tblHeader/>
          <w:jc w:val="center"/>
        </w:trPr>
        <w:tc>
          <w:tcPr>
            <w:tcW w:w="2581" w:type="pct"/>
            <w:tcBorders>
              <w:top w:val="single" w:color="0F6FC6" w:sz="4" w:space="0"/>
              <w:left w:val="single" w:color="0F6FC6" w:sz="4" w:space="0"/>
              <w:bottom w:val="single" w:color="009DD9" w:sz="4" w:space="0"/>
              <w:right w:val="nil"/>
              <w:insideV w:val="nil"/>
            </w:tcBorders>
            <w:shd w:val="clear" w:color="auto" w:fill="0F6FC6"/>
            <w:noWrap/>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专业</w:t>
            </w:r>
          </w:p>
        </w:tc>
        <w:tc>
          <w:tcPr>
            <w:tcW w:w="2419" w:type="pct"/>
            <w:tcBorders>
              <w:top w:val="single" w:color="0F6FC6" w:sz="4" w:space="0"/>
              <w:bottom w:val="single" w:color="009DD9" w:sz="4" w:space="0"/>
              <w:right w:val="single" w:color="0F6FC6" w:sz="4" w:space="0"/>
              <w:insideV w:val="nil"/>
            </w:tcBorders>
            <w:shd w:val="clear" w:color="auto" w:fill="0F6FC6"/>
            <w:vAlign w:val="center"/>
          </w:tcPr>
          <w:p>
            <w:pPr>
              <w:spacing w:before="0"/>
              <w:jc w:val="center"/>
              <w:rPr>
                <w:rFonts w:ascii="Times New Roman" w:hAnsi="Times New Roman" w:cs="Times New Roman"/>
                <w:b/>
                <w:bCs/>
                <w:color w:val="FFFFFF"/>
                <w:szCs w:val="21"/>
              </w:rPr>
            </w:pPr>
            <w:r>
              <w:rPr>
                <w:rFonts w:ascii="Times New Roman" w:hAnsi="Times New Roman" w:cs="Times New Roman"/>
                <w:b/>
                <w:bCs/>
                <w:color w:val="FFFFFF"/>
                <w:szCs w:val="21"/>
              </w:rPr>
              <w:t>月均收入</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计算机科学与技术</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7102.73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数字媒体技术</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6631.25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物联网工程</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6323.33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飞行器制造工程</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6083.33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信息管理与信息系统</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6080.00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视觉传达设计</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5826.67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bCs/>
                <w:color w:val="000000"/>
                <w:szCs w:val="21"/>
              </w:rPr>
            </w:pPr>
            <w:r>
              <w:rPr>
                <w:rFonts w:ascii="Times New Roman" w:hAnsi="Times New Roman" w:cs="Times New Roman"/>
                <w:b w:val="0"/>
                <w:bCs/>
                <w:color w:val="000000"/>
                <w:sz w:val="22"/>
                <w:szCs w:val="22"/>
              </w:rPr>
              <w:t>材料成型及控制工程</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color w:val="000000"/>
                <w:szCs w:val="21"/>
              </w:rPr>
            </w:pPr>
            <w:r>
              <w:rPr>
                <w:rFonts w:ascii="Times New Roman" w:hAnsi="Times New Roman" w:cs="Times New Roman"/>
                <w:color w:val="000000"/>
                <w:sz w:val="22"/>
                <w:szCs w:val="22"/>
              </w:rPr>
              <w:t xml:space="preserve">5821.43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网络与新媒体</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5807.69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过程装备与控制工程</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5728.57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电气工程及其自动化</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5536.73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商务英语</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5421.74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广播电视编导</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5419.05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复合材料与工程</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5323.08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0"/>
              <w:jc w:val="center"/>
              <w:rPr>
                <w:rFonts w:ascii="Times New Roman" w:hAnsi="Times New Roman" w:cs="Times New Roman"/>
                <w:b w:val="0"/>
                <w:bCs/>
                <w:szCs w:val="21"/>
              </w:rPr>
            </w:pPr>
            <w:r>
              <w:rPr>
                <w:rFonts w:ascii="Times New Roman" w:hAnsi="Times New Roman" w:cs="Times New Roman"/>
                <w:b w:val="0"/>
                <w:bCs/>
                <w:color w:val="000000"/>
                <w:sz w:val="22"/>
                <w:szCs w:val="22"/>
              </w:rPr>
              <w:t>机械设计制造及其自动化</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0"/>
              <w:jc w:val="center"/>
              <w:rPr>
                <w:rFonts w:ascii="Times New Roman" w:hAnsi="Times New Roman" w:cs="Times New Roman"/>
                <w:szCs w:val="21"/>
              </w:rPr>
            </w:pPr>
            <w:r>
              <w:rPr>
                <w:rFonts w:ascii="Times New Roman" w:hAnsi="Times New Roman" w:cs="Times New Roman"/>
                <w:color w:val="000000"/>
                <w:sz w:val="22"/>
                <w:szCs w:val="22"/>
              </w:rPr>
              <w:t xml:space="preserve">5230.54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物流管理</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5130.00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化学工程与工艺</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5111.11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食品科学与工程</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4723.53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印刷工程</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4700.00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英语</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4425.26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音乐表演</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4329.03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制药工程</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4308.46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工业设计</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4155.00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财务管理</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4153.31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汉语言文学</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4139.29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口腔医学</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4096.29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学前教育</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4039.47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护理学</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3895.15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小学教育</w:t>
            </w:r>
          </w:p>
        </w:tc>
        <w:tc>
          <w:tcPr>
            <w:tcW w:w="2419" w:type="pct"/>
            <w:tcBorders>
              <w:top w:val="single" w:color="009DD9" w:sz="4" w:space="0"/>
              <w:left w:val="single" w:color="009DD9" w:sz="4" w:space="0"/>
              <w:bottom w:val="single" w:color="009DD9" w:sz="4" w:space="0"/>
              <w:right w:val="single" w:color="009DD9" w:sz="4" w:space="0"/>
            </w:tcBorders>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3679.63 </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283" w:hRule="atLeast"/>
          <w:jc w:val="center"/>
        </w:trPr>
        <w:tc>
          <w:tcPr>
            <w:tcW w:w="2581" w:type="pct"/>
            <w:tcBorders>
              <w:top w:val="single" w:color="009DD9" w:sz="4" w:space="0"/>
              <w:left w:val="single" w:color="009DD9" w:sz="4" w:space="0"/>
              <w:bottom w:val="single" w:color="009DD9" w:sz="4" w:space="0"/>
              <w:right w:val="single" w:color="009DD9" w:sz="4" w:space="0"/>
            </w:tcBorders>
            <w:shd w:val="clear" w:color="auto" w:fill="C7E2FA"/>
            <w:noWrap/>
            <w:vAlign w:val="center"/>
          </w:tcPr>
          <w:p>
            <w:pPr>
              <w:spacing w:before="100"/>
              <w:jc w:val="center"/>
              <w:rPr>
                <w:rFonts w:ascii="Times New Roman" w:hAnsi="Times New Roman" w:cs="Times New Roman"/>
                <w:b w:val="0"/>
                <w:bCs/>
                <w:color w:val="000000"/>
                <w:sz w:val="22"/>
                <w:szCs w:val="22"/>
              </w:rPr>
            </w:pPr>
            <w:r>
              <w:rPr>
                <w:rFonts w:ascii="Times New Roman" w:hAnsi="Times New Roman" w:cs="Times New Roman"/>
                <w:b w:val="0"/>
                <w:bCs/>
                <w:color w:val="000000"/>
                <w:sz w:val="22"/>
                <w:szCs w:val="22"/>
              </w:rPr>
              <w:t>康复治疗学</w:t>
            </w:r>
          </w:p>
        </w:tc>
        <w:tc>
          <w:tcPr>
            <w:tcW w:w="2419" w:type="pct"/>
            <w:tcBorders>
              <w:top w:val="single" w:color="009DD9" w:sz="4" w:space="0"/>
              <w:left w:val="single" w:color="009DD9" w:sz="4" w:space="0"/>
              <w:bottom w:val="single" w:color="009DD9" w:sz="4" w:space="0"/>
              <w:right w:val="single" w:color="009DD9" w:sz="4" w:space="0"/>
            </w:tcBorders>
            <w:shd w:val="clear" w:color="auto" w:fill="C7E2FA"/>
            <w:vAlign w:val="center"/>
          </w:tcPr>
          <w:p>
            <w:pPr>
              <w:spacing w:before="100"/>
              <w:jc w:val="center"/>
              <w:rPr>
                <w:rFonts w:ascii="Times New Roman" w:hAnsi="Times New Roman" w:cs="Times New Roman"/>
              </w:rPr>
            </w:pPr>
            <w:r>
              <w:rPr>
                <w:rFonts w:ascii="Times New Roman" w:hAnsi="Times New Roman" w:cs="Times New Roman"/>
                <w:color w:val="000000"/>
                <w:sz w:val="22"/>
                <w:szCs w:val="22"/>
              </w:rPr>
              <w:t xml:space="preserve">3520.00 </w:t>
            </w:r>
          </w:p>
        </w:tc>
      </w:tr>
      <w:bookmarkEnd w:id="223"/>
    </w:tbl>
    <w:p>
      <w:pPr>
        <w:pStyle w:val="118"/>
        <w:spacing w:before="156" w:beforeLines="50"/>
        <w:ind w:firstLine="360"/>
        <w:rPr>
          <w:color w:val="0F6FC6" w:themeColor="accent5"/>
          <w14:textFill>
            <w14:solidFill>
              <w14:schemeClr w14:val="accent5"/>
            </w14:solidFill>
          </w14:textFill>
        </w:rPr>
      </w:pPr>
      <w:r>
        <w:rPr>
          <w:color w:val="0F6FC6" w:themeColor="accent5"/>
          <w14:textFill>
            <w14:solidFill>
              <w14:schemeClr w14:val="accent5"/>
            </w14:solidFill>
          </w14:textFill>
        </w:rPr>
        <w:t>注：数学与应用数学</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市场营销</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机械电子工程</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环境设计</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应用物理学</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生物工程</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产品设计</w:t>
      </w:r>
      <w:r>
        <w:rPr>
          <w:rFonts w:hint="eastAsia"/>
          <w:color w:val="0F6FC6" w:themeColor="accent5"/>
          <w14:textFill>
            <w14:solidFill>
              <w14:schemeClr w14:val="accent5"/>
            </w14:solidFill>
          </w14:textFill>
        </w:rPr>
        <w:t>、</w:t>
      </w:r>
      <w:r>
        <w:rPr>
          <w:color w:val="0F6FC6" w:themeColor="accent5"/>
          <w14:textFill>
            <w14:solidFill>
              <w14:schemeClr w14:val="accent5"/>
            </w14:solidFill>
          </w14:textFill>
        </w:rPr>
        <w:t>植物科学与技术等专业样本量较小，不纳入到报告的分析范围。</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1"/>
        <w:rPr>
          <w:color w:val="0F6FC6" w:themeColor="accent5"/>
          <w14:textFill>
            <w14:solidFill>
              <w14:schemeClr w14:val="accent5"/>
            </w14:solidFill>
          </w14:textFill>
        </w:rPr>
      </w:pPr>
      <w:bookmarkStart w:id="224" w:name="_Toc92706747"/>
      <w:bookmarkStart w:id="225" w:name="_Toc496017581"/>
      <w:bookmarkStart w:id="226" w:name="_Toc81325059"/>
      <w:bookmarkStart w:id="227" w:name="_Toc487790089"/>
      <w:bookmarkStart w:id="228" w:name="_Toc487789908"/>
      <w:r>
        <w:rPr>
          <w:rFonts w:hint="eastAsia"/>
          <w:color w:val="0F6FC6" w:themeColor="accent5"/>
          <w14:textFill>
            <w14:solidFill>
              <w14:schemeClr w14:val="accent5"/>
            </w14:solidFill>
          </w14:textFill>
        </w:rPr>
        <w:t>二</w:t>
      </w:r>
      <w:r>
        <w:rPr>
          <w:color w:val="0F6FC6" w:themeColor="accent5"/>
          <w14:textFill>
            <w14:solidFill>
              <w14:schemeClr w14:val="accent5"/>
            </w14:solidFill>
          </w14:textFill>
        </w:rPr>
        <w:t>、专科毕业生</w:t>
      </w:r>
      <w:bookmarkEnd w:id="224"/>
      <w:bookmarkEnd w:id="225"/>
      <w:bookmarkEnd w:id="226"/>
      <w:bookmarkEnd w:id="227"/>
      <w:bookmarkEnd w:id="228"/>
      <w:bookmarkStart w:id="229" w:name="_Toc496017582"/>
      <w:bookmarkStart w:id="230" w:name="_Toc487789909"/>
      <w:bookmarkStart w:id="231" w:name="_Toc487790090"/>
    </w:p>
    <w:bookmarkEnd w:id="229"/>
    <w:bookmarkEnd w:id="230"/>
    <w:bookmarkEnd w:id="231"/>
    <w:p>
      <w:pPr>
        <w:pStyle w:val="151"/>
        <w:rPr>
          <w:color w:val="0F6FC6" w:themeColor="accent5"/>
          <w14:textFill>
            <w14:solidFill>
              <w14:schemeClr w14:val="accent5"/>
            </w14:solidFill>
          </w14:textFill>
        </w:rPr>
      </w:pPr>
      <w:bookmarkStart w:id="232" w:name="_Toc92706748"/>
      <w:bookmarkStart w:id="233" w:name="_Toc81325061"/>
      <w:bookmarkStart w:id="234" w:name="_Toc487789910"/>
      <w:bookmarkStart w:id="235" w:name="_Toc487790091"/>
      <w:bookmarkStart w:id="236" w:name="_Toc496017583"/>
      <w:r>
        <w:rPr>
          <w:rFonts w:hint="eastAsia"/>
          <w:color w:val="0F6FC6" w:themeColor="accent5"/>
          <w14:textFill>
            <w14:solidFill>
              <w14:schemeClr w14:val="accent5"/>
            </w14:solidFill>
          </w14:textFill>
        </w:rPr>
        <w:t>（一）就业机会充分度</w:t>
      </w:r>
      <w:bookmarkEnd w:id="232"/>
      <w:bookmarkEnd w:id="233"/>
    </w:p>
    <w:p>
      <w:pPr>
        <w:pStyle w:val="178"/>
        <w:spacing w:before="156"/>
        <w:ind w:firstLine="480"/>
      </w:pPr>
      <w:r>
        <w:rPr>
          <w:rFonts w:hint="eastAsia"/>
        </w:rPr>
        <w:t>就业机会充分度是指毕业生所学专业在社会市场上就业机会的多少，可以作为衡量专业结构设置和培养方案与社会需求是否相契合的影响因素。</w:t>
      </w:r>
    </w:p>
    <w:p>
      <w:pPr>
        <w:pStyle w:val="135"/>
        <w:spacing w:before="156" w:beforeLines="50"/>
        <w:ind w:firstLine="482"/>
      </w:pPr>
      <w:r>
        <w:rPr>
          <w:rFonts w:hint="eastAsia"/>
          <w:b/>
          <w:bCs/>
          <w:color w:val="0F6FC6" w:themeColor="accent5"/>
          <w14:textFill>
            <w14:solidFill>
              <w14:schemeClr w14:val="accent5"/>
            </w14:solidFill>
          </w14:textFill>
        </w:rPr>
        <w:t>总体就业机会充分度</w:t>
      </w:r>
      <w:r>
        <w:rPr>
          <w:b/>
          <w:bCs/>
          <w:color w:val="0F6FC6" w:themeColor="accent5"/>
          <w14:textFill>
            <w14:solidFill>
              <w14:schemeClr w14:val="accent5"/>
            </w14:solidFill>
          </w14:textFill>
        </w:rPr>
        <w:t>：</w:t>
      </w:r>
      <w:r>
        <w:rPr>
          <w:rFonts w:hint="eastAsia"/>
        </w:rPr>
        <w:t>51.18%</w:t>
      </w:r>
      <w:r>
        <w:t>的</w:t>
      </w:r>
      <w:r>
        <w:rPr>
          <w:rFonts w:hint="eastAsia"/>
        </w:rPr>
        <w:t>专科毕业生</w:t>
      </w:r>
      <w:r>
        <w:t>认为所学专业</w:t>
      </w:r>
      <w:r>
        <w:rPr>
          <w:rFonts w:hint="eastAsia"/>
          <w:color w:val="auto"/>
        </w:rPr>
        <w:t>的</w:t>
      </w:r>
      <w:r>
        <w:rPr>
          <w:color w:val="auto"/>
        </w:rPr>
        <w:t>就业机会较多，</w:t>
      </w:r>
      <w:r>
        <w:rPr>
          <w:rFonts w:hint="eastAsia"/>
          <w:color w:val="auto"/>
        </w:rPr>
        <w:t>8.86%的毕业生认为所学专业的就业机会较少</w:t>
      </w:r>
      <w:r>
        <w:t>。</w:t>
      </w:r>
    </w:p>
    <w:p>
      <w:pPr>
        <w:spacing w:before="156" w:beforeLines="50" w:after="156" w:afterLines="50" w:line="360" w:lineRule="auto"/>
        <w:ind w:firstLine="480" w:firstLineChars="200"/>
        <w:jc w:val="center"/>
        <w:rPr>
          <w:rFonts w:ascii="Times New Roman" w:hAnsi="Times New Roman"/>
          <w:szCs w:val="21"/>
          <w:lang w:val="zh-CN"/>
        </w:rPr>
      </w:pPr>
      <w:r>
        <w:drawing>
          <wp:inline distT="0" distB="0" distL="0" distR="0">
            <wp:extent cx="5342890" cy="1914525"/>
            <wp:effectExtent l="0" t="0" r="0" b="0"/>
            <wp:docPr id="21"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before="156" w:beforeLines="50" w:after="156" w:afterLines="50" w:line="360" w:lineRule="auto"/>
        <w:jc w:val="center"/>
        <w:rPr>
          <w:rFonts w:ascii="Times New Roman" w:hAnsi="Times New Roman" w:eastAsia="黑体"/>
          <w:b/>
          <w:caps/>
          <w:color w:val="0F6FC6" w:themeColor="accent5"/>
          <w:sz w:val="21"/>
          <w:szCs w:val="36"/>
          <w:lang w:val="zh-CN"/>
          <w14:textFill>
            <w14:solidFill>
              <w14:schemeClr w14:val="accent5"/>
            </w14:solidFill>
          </w14:textFill>
        </w:rPr>
      </w:pPr>
      <w:r>
        <w:rPr>
          <w:rStyle w:val="181"/>
        </w:rPr>
        <w:t xml:space="preserve">图4- </w:t>
      </w:r>
      <w:r>
        <w:rPr>
          <w:rStyle w:val="181"/>
          <w:b w:val="0"/>
        </w:rPr>
        <w:fldChar w:fldCharType="begin"/>
      </w:r>
      <w:r>
        <w:rPr>
          <w:rStyle w:val="181"/>
        </w:rPr>
        <w:instrText xml:space="preserve"> SEQ 图3- \* ARABIC </w:instrText>
      </w:r>
      <w:r>
        <w:rPr>
          <w:rStyle w:val="181"/>
          <w:b w:val="0"/>
        </w:rPr>
        <w:fldChar w:fldCharType="separate"/>
      </w:r>
      <w:r>
        <w:rPr>
          <w:rStyle w:val="181"/>
        </w:rPr>
        <w:t>10</w:t>
      </w:r>
      <w:r>
        <w:rPr>
          <w:rStyle w:val="181"/>
          <w:b w:val="0"/>
        </w:rPr>
        <w:fldChar w:fldCharType="end"/>
      </w:r>
      <w:r>
        <w:rPr>
          <w:rFonts w:hint="eastAsia" w:ascii="Times New Roman" w:hAnsi="Times New Roman" w:eastAsia="黑体"/>
          <w:bCs/>
          <w:caps/>
          <w:color w:val="0F6FC6" w:themeColor="accent5"/>
          <w:sz w:val="21"/>
          <w:szCs w:val="36"/>
          <w:lang w:val="zh-CN"/>
          <w14:textFill>
            <w14:solidFill>
              <w14:schemeClr w14:val="accent5"/>
            </w14:solidFill>
          </w14:textFill>
        </w:rPr>
        <w:t xml:space="preserve"> </w:t>
      </w:r>
      <w:r>
        <w:rPr>
          <w:rFonts w:hint="eastAsia" w:ascii="Times New Roman" w:hAnsi="Times New Roman" w:eastAsia="黑体"/>
          <w:b/>
          <w:caps/>
          <w:color w:val="0F6FC6" w:themeColor="accent5"/>
          <w:sz w:val="21"/>
          <w:szCs w:val="36"/>
          <w:lang w:val="zh-CN"/>
          <w14:textFill>
            <w14:solidFill>
              <w14:schemeClr w14:val="accent5"/>
            </w14:solidFill>
          </w14:textFill>
        </w:rPr>
        <w:t xml:space="preserve"> 2021届专科毕业生对就业机会的评价</w:t>
      </w:r>
    </w:p>
    <w:p>
      <w:pPr>
        <w:ind w:firstLine="360" w:firstLineChars="200"/>
        <w:rPr>
          <w:rFonts w:ascii="Times New Roman" w:hAnsi="Times New Roman"/>
          <w:color w:val="0F6FC6" w:themeColor="accent5"/>
          <w:sz w:val="18"/>
          <w:szCs w:val="18"/>
          <w:lang w:val="zh-CN"/>
          <w14:textFill>
            <w14:solidFill>
              <w14:schemeClr w14:val="accent5"/>
            </w14:solidFill>
          </w14:textFill>
        </w:rPr>
      </w:pPr>
      <w:r>
        <w:rPr>
          <w:rFonts w:ascii="Times New Roman" w:hAnsi="Times New Roman"/>
          <w:color w:val="0F6FC6" w:themeColor="accent5"/>
          <w:sz w:val="18"/>
          <w:szCs w:val="18"/>
          <w:lang w:val="zh-CN"/>
          <w14:textFill>
            <w14:solidFill>
              <w14:schemeClr w14:val="accent5"/>
            </w14:solidFill>
          </w14:textFill>
        </w:rPr>
        <w:t>注：</w:t>
      </w:r>
      <w:r>
        <w:rPr>
          <w:rFonts w:hint="eastAsia" w:ascii="Times New Roman" w:hAnsi="Times New Roman"/>
          <w:color w:val="0F6FC6" w:themeColor="accent5"/>
          <w:sz w:val="18"/>
          <w:szCs w:val="18"/>
          <w:lang w:val="zh-CN"/>
          <w14:textFill>
            <w14:solidFill>
              <w14:schemeClr w14:val="accent5"/>
            </w14:solidFill>
          </w14:textFill>
        </w:rPr>
        <w:t>就业机会“较多”占比为选择“非常多”、“比较多”占比之和，“较少”占比为选择“比较少”、“非常少”占比之和。</w:t>
      </w:r>
    </w:p>
    <w:p>
      <w:pPr>
        <w:ind w:firstLine="360" w:firstLineChars="200"/>
        <w:rPr>
          <w:rFonts w:ascii="Times New Roman" w:hAnsi="Times New Roman"/>
          <w:color w:val="0F6FC6" w:themeColor="accent5"/>
          <w:sz w:val="18"/>
          <w:szCs w:val="18"/>
          <w:lang w:val="zh-CN"/>
          <w14:textFill>
            <w14:solidFill>
              <w14:schemeClr w14:val="accent5"/>
            </w14:solidFill>
          </w14:textFill>
        </w:rPr>
      </w:pPr>
      <w:r>
        <w:rPr>
          <w:rFonts w:hint="eastAsia" w:ascii="Times New Roman" w:hAnsi="Times New Roman"/>
          <w:color w:val="0F6FC6" w:themeColor="accent5"/>
          <w:sz w:val="18"/>
          <w:szCs w:val="18"/>
          <w:lang w:val="zh-CN"/>
          <w14:textFill>
            <w14:solidFill>
              <w14:schemeClr w14:val="accent5"/>
            </w14:solidFill>
          </w14:textFill>
        </w:rPr>
        <w:t>数据来源：第三方机构新锦成</w:t>
      </w:r>
      <w:r>
        <w:rPr>
          <w:rFonts w:ascii="Times New Roman" w:hAnsi="Times New Roman"/>
          <w:color w:val="0F6FC6" w:themeColor="accent5"/>
          <w:sz w:val="18"/>
          <w:szCs w:val="18"/>
          <w:lang w:val="zh-CN"/>
          <w14:textFill>
            <w14:solidFill>
              <w14:schemeClr w14:val="accent5"/>
            </w14:solidFill>
          </w14:textFill>
        </w:rPr>
        <w:t>-2021届</w:t>
      </w:r>
      <w:r>
        <w:rPr>
          <w:rFonts w:hint="eastAsia" w:ascii="Times New Roman" w:hAnsi="Times New Roman"/>
          <w:color w:val="0F6FC6" w:themeColor="accent5"/>
          <w:sz w:val="18"/>
          <w:szCs w:val="18"/>
          <w:lang w:val="zh-CN"/>
          <w14:textFill>
            <w14:solidFill>
              <w14:schemeClr w14:val="accent5"/>
            </w14:solidFill>
          </w14:textFill>
        </w:rPr>
        <w:t>毕业生就业与培养质量调查。</w:t>
      </w:r>
    </w:p>
    <w:p>
      <w:pPr>
        <w:spacing w:before="156" w:beforeLines="50" w:line="360" w:lineRule="auto"/>
        <w:ind w:firstLine="480" w:firstLineChars="200"/>
        <w:jc w:val="both"/>
        <w:rPr>
          <w:rFonts w:ascii="Times New Roman" w:hAnsi="Times New Roman"/>
          <w:color w:val="000000"/>
        </w:rPr>
      </w:pPr>
      <w:r>
        <w:rPr>
          <w:rFonts w:hint="eastAsia" w:ascii="Times New Roman" w:hAnsi="Times New Roman"/>
          <w:b/>
          <w:bCs/>
          <w:color w:val="0F6FC6" w:themeColor="accent5"/>
          <w14:textFill>
            <w14:solidFill>
              <w14:schemeClr w14:val="accent5"/>
            </w14:solidFill>
          </w14:textFill>
        </w:rPr>
        <w:t>各学院专科毕业生</w:t>
      </w:r>
      <w:r>
        <w:rPr>
          <w:rFonts w:ascii="Times New Roman" w:hAnsi="Times New Roman"/>
          <w:b/>
          <w:bCs/>
          <w:color w:val="0F6FC6" w:themeColor="accent5"/>
          <w14:textFill>
            <w14:solidFill>
              <w14:schemeClr w14:val="accent5"/>
            </w14:solidFill>
          </w14:textFill>
        </w:rPr>
        <w:t>就业机会</w:t>
      </w:r>
      <w:r>
        <w:rPr>
          <w:rFonts w:hint="eastAsia" w:ascii="Times New Roman" w:hAnsi="Times New Roman"/>
          <w:b/>
          <w:bCs/>
          <w:color w:val="0F6FC6" w:themeColor="accent5"/>
          <w14:textFill>
            <w14:solidFill>
              <w14:schemeClr w14:val="accent5"/>
            </w14:solidFill>
          </w14:textFill>
        </w:rPr>
        <w:t>充分度</w:t>
      </w:r>
      <w:r>
        <w:rPr>
          <w:rFonts w:ascii="Times New Roman" w:hAnsi="Times New Roman"/>
          <w:b/>
          <w:bCs/>
          <w:color w:val="0F6FC6" w:themeColor="accent5"/>
          <w14:textFill>
            <w14:solidFill>
              <w14:schemeClr w14:val="accent5"/>
            </w14:solidFill>
          </w14:textFill>
        </w:rPr>
        <w:t>：</w:t>
      </w:r>
      <w:r>
        <w:rPr>
          <w:rFonts w:hint="eastAsia" w:ascii="Times New Roman" w:hAnsi="Times New Roman"/>
          <w:color w:val="000000"/>
        </w:rPr>
        <w:t>2021届专科毕业生认为就业机会“较多”的学院为化工与药学院（84.62%）、师范学院（60.78%）、医学院（57.09%）等</w:t>
      </w:r>
      <w:r>
        <w:rPr>
          <w:rFonts w:ascii="Times New Roman" w:hAnsi="Times New Roman"/>
          <w:color w:val="000000"/>
        </w:rPr>
        <w:t>。</w:t>
      </w:r>
    </w:p>
    <w:p>
      <w:pPr>
        <w:rPr>
          <w:rFonts w:ascii="Times New Roman" w:hAnsi="Times New Roman"/>
          <w:color w:val="0F6FC6"/>
          <w:sz w:val="18"/>
          <w:szCs w:val="18"/>
          <w:lang w:val="zh-CN"/>
        </w:rPr>
      </w:pPr>
      <w:r>
        <w:rPr>
          <w:color w:val="000000"/>
          <w:sz w:val="18"/>
          <w:szCs w:val="21"/>
        </w:rPr>
        <w:drawing>
          <wp:inline distT="0" distB="0" distL="0" distR="0">
            <wp:extent cx="5580380" cy="2392045"/>
            <wp:effectExtent l="0" t="0" r="1270" b="8255"/>
            <wp:docPr id="1383" name="图表 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12"/>
        <w:spacing w:before="156" w:after="156"/>
        <w:rPr>
          <w:rStyle w:val="181"/>
          <w:b/>
          <w:bCs w:val="0"/>
          <w:caps w:val="0"/>
        </w:rPr>
      </w:pPr>
      <w:r>
        <w:rPr>
          <w:rStyle w:val="181"/>
          <w:b/>
        </w:rPr>
        <w:t xml:space="preserve">图4- </w:t>
      </w:r>
      <w:r>
        <w:rPr>
          <w:rStyle w:val="181"/>
          <w:b/>
        </w:rPr>
        <w:fldChar w:fldCharType="begin"/>
      </w:r>
      <w:r>
        <w:rPr>
          <w:rStyle w:val="181"/>
          <w:b/>
        </w:rPr>
        <w:instrText xml:space="preserve"> SEQ 图3- \* ARABIC </w:instrText>
      </w:r>
      <w:r>
        <w:rPr>
          <w:rStyle w:val="181"/>
          <w:b/>
        </w:rPr>
        <w:fldChar w:fldCharType="separate"/>
      </w:r>
      <w:r>
        <w:rPr>
          <w:rStyle w:val="181"/>
          <w:b/>
        </w:rPr>
        <w:t>11</w:t>
      </w:r>
      <w:r>
        <w:rPr>
          <w:rStyle w:val="181"/>
          <w:b/>
        </w:rPr>
        <w:fldChar w:fldCharType="end"/>
      </w:r>
      <w:r>
        <w:rPr>
          <w:rStyle w:val="181"/>
          <w:rFonts w:hint="eastAsia"/>
          <w:b/>
          <w:bCs w:val="0"/>
          <w:caps w:val="0"/>
        </w:rPr>
        <w:t xml:space="preserve">  2021届主要学院专科毕业生对就业机会的评价</w:t>
      </w:r>
    </w:p>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：经济与管理学院、机械工程学院等</w:t>
      </w:r>
      <w:r>
        <w:rPr>
          <w:color w:val="0F6FC6" w:themeColor="accent5"/>
          <w14:textFill>
            <w14:solidFill>
              <w14:schemeClr w14:val="accent5"/>
            </w14:solidFill>
          </w14:textFill>
        </w:rPr>
        <w:t>样本量较小，不纳入到报告</w:t>
      </w:r>
      <w:r>
        <w:rPr>
          <w:rFonts w:hint="eastAsia"/>
          <w:color w:val="0F6FC6" w:themeColor="accent5"/>
          <w14:textFill>
            <w14:solidFill>
              <w14:schemeClr w14:val="accent5"/>
            </w14:solidFill>
          </w14:textFill>
        </w:rPr>
        <w:t>此处</w:t>
      </w:r>
      <w:r>
        <w:rPr>
          <w:color w:val="0F6FC6" w:themeColor="accent5"/>
          <w14:textFill>
            <w14:solidFill>
              <w14:schemeClr w14:val="accent5"/>
            </w14:solidFill>
          </w14:textFill>
        </w:rPr>
        <w:t>的分析范围</w:t>
      </w:r>
      <w:r>
        <w:rPr>
          <w:rFonts w:hint="eastAsia"/>
          <w:color w:val="0F6FC6" w:themeColor="accent5"/>
          <w14:textFill>
            <w14:solidFill>
              <w14:schemeClr w14:val="accent5"/>
            </w14:solidFill>
          </w14:textFill>
        </w:rPr>
        <w:t>。</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line="360" w:lineRule="auto"/>
        <w:ind w:firstLine="480" w:firstLineChars="200"/>
        <w:jc w:val="both"/>
        <w:rPr>
          <w:rFonts w:ascii="Times New Roman" w:hAnsi="Times New Roman"/>
          <w:color w:val="000000"/>
        </w:rPr>
      </w:pPr>
      <w:r>
        <w:rPr>
          <w:rFonts w:hint="eastAsia" w:ascii="Times New Roman" w:hAnsi="Times New Roman"/>
          <w:b/>
          <w:bCs/>
          <w:color w:val="0F6FC6" w:themeColor="accent5"/>
          <w14:textFill>
            <w14:solidFill>
              <w14:schemeClr w14:val="accent5"/>
            </w14:solidFill>
          </w14:textFill>
        </w:rPr>
        <w:t>各专业专科毕业生</w:t>
      </w:r>
      <w:r>
        <w:rPr>
          <w:rFonts w:ascii="Times New Roman" w:hAnsi="Times New Roman"/>
          <w:b/>
          <w:bCs/>
          <w:color w:val="0F6FC6" w:themeColor="accent5"/>
          <w14:textFill>
            <w14:solidFill>
              <w14:schemeClr w14:val="accent5"/>
            </w14:solidFill>
          </w14:textFill>
        </w:rPr>
        <w:t>就业机会</w:t>
      </w:r>
      <w:r>
        <w:rPr>
          <w:rFonts w:hint="eastAsia" w:ascii="Times New Roman" w:hAnsi="Times New Roman"/>
          <w:b/>
          <w:bCs/>
          <w:color w:val="0F6FC6" w:themeColor="accent5"/>
          <w14:textFill>
            <w14:solidFill>
              <w14:schemeClr w14:val="accent5"/>
            </w14:solidFill>
          </w14:textFill>
        </w:rPr>
        <w:t>充分度</w:t>
      </w:r>
      <w:r>
        <w:rPr>
          <w:rFonts w:ascii="Times New Roman" w:hAnsi="Times New Roman"/>
          <w:b/>
          <w:bCs/>
          <w:color w:val="0F6FC6" w:themeColor="accent5"/>
          <w14:textFill>
            <w14:solidFill>
              <w14:schemeClr w14:val="accent5"/>
            </w14:solidFill>
          </w14:textFill>
        </w:rPr>
        <w:t>：</w:t>
      </w:r>
      <w:r>
        <w:rPr>
          <w:rFonts w:hint="eastAsia" w:ascii="Times New Roman" w:hAnsi="Times New Roman"/>
          <w:color w:val="000000"/>
        </w:rPr>
        <w:t>2021届专科毕业生认为就业机会“较多”的专业为应用化工技术（88.89%）、石油化工技术（75.00%）、护理（73.08%）等</w:t>
      </w:r>
      <w:r>
        <w:rPr>
          <w:rFonts w:ascii="Times New Roman" w:hAnsi="Times New Roman"/>
          <w:color w:val="000000"/>
        </w:rPr>
        <w:t>。</w:t>
      </w:r>
    </w:p>
    <w:p>
      <w:pPr>
        <w:spacing w:before="156" w:beforeLines="50" w:line="360" w:lineRule="auto"/>
        <w:ind w:firstLine="480" w:firstLineChars="200"/>
        <w:jc w:val="both"/>
        <w:rPr>
          <w:rFonts w:ascii="Times New Roman" w:hAnsi="Times New Roman"/>
          <w:color w:val="000000"/>
        </w:rPr>
      </w:pPr>
    </w:p>
    <w:p>
      <w:pPr>
        <w:spacing w:before="156" w:beforeLines="50" w:line="360" w:lineRule="auto"/>
        <w:ind w:firstLine="480" w:firstLineChars="200"/>
        <w:jc w:val="both"/>
        <w:rPr>
          <w:rFonts w:ascii="Times New Roman" w:hAnsi="Times New Roman"/>
          <w:color w:val="000000"/>
        </w:rPr>
      </w:pPr>
    </w:p>
    <w:p>
      <w:pPr>
        <w:pStyle w:val="180"/>
      </w:pPr>
      <w:r>
        <w:t xml:space="preserve">表4- </w:t>
      </w:r>
      <w:r>
        <w:fldChar w:fldCharType="begin"/>
      </w:r>
      <w:r>
        <w:instrText xml:space="preserve"> SEQ 表3- \* ARABIC </w:instrText>
      </w:r>
      <w:r>
        <w:fldChar w:fldCharType="separate"/>
      </w:r>
      <w:r>
        <w:t>7</w:t>
      </w:r>
      <w:r>
        <w:fldChar w:fldCharType="end"/>
      </w:r>
      <w:r>
        <w:rPr>
          <w:rFonts w:hint="eastAsia"/>
        </w:rPr>
        <w:t xml:space="preserve">  2021届主要专业专科毕业生对就业机会的评价</w:t>
      </w:r>
    </w:p>
    <w:tbl>
      <w:tblPr>
        <w:tblStyle w:val="225"/>
        <w:tblW w:w="4958"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519"/>
        <w:gridCol w:w="1803"/>
        <w:gridCol w:w="1803"/>
        <w:gridCol w:w="180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较多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一般</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较少</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应用化工技术</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88.89%</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11.11%</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石油化工技术</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75.00%</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25.00%</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护理</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73.08%</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19.23%</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口腔医学</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69.77%</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28.49%</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1.74%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学前教育</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60.78%</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35.29%</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电气自动化技术</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50.00%</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45.45%</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计算机应用技术</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44.68%</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51.06%</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会计</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43.75%</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50.00%</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数控技术</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35.71%</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50.00%</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临床医学</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26.19%</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48.81%</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语文教育</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26.19%</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59.52%</w:t>
            </w:r>
          </w:p>
        </w:tc>
        <w:tc>
          <w:tcPr>
            <w:tcW w:w="0" w:type="auto"/>
            <w:shd w:val="clear" w:color="auto" w:fill="C7E2FA"/>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园林技术</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14.29%</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64.29%</w:t>
            </w:r>
          </w:p>
        </w:tc>
        <w:tc>
          <w:tcPr>
            <w:tcW w:w="0" w:type="auto"/>
            <w:vAlign w:val="center"/>
          </w:tcPr>
          <w:p>
            <w:pPr>
              <w:spacing w:before="0"/>
              <w:jc w:val="center"/>
              <w:rPr>
                <w:rFonts w:ascii="Times New Roman" w:hAnsi="Times New Roman" w:cs="Times New Roman"/>
                <w:sz w:val="21"/>
                <w:szCs w:val="21"/>
              </w:rPr>
            </w:pPr>
            <w:r>
              <w:rPr>
                <w:rFonts w:ascii="Times New Roman" w:hAnsi="Times New Roman" w:cs="Times New Roman"/>
                <w:sz w:val="21"/>
                <w:szCs w:val="21"/>
              </w:rPr>
              <w:t>21.43%</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：航空材料精密成型技术、数字图文信息技术等专业</w:t>
      </w:r>
      <w:r>
        <w:rPr>
          <w:color w:val="0F6FC6" w:themeColor="accent5"/>
          <w14:textFill>
            <w14:solidFill>
              <w14:schemeClr w14:val="accent5"/>
            </w14:solidFill>
          </w14:textFill>
        </w:rPr>
        <w:t>样本量较小，不纳入到报告</w:t>
      </w:r>
      <w:r>
        <w:rPr>
          <w:rFonts w:hint="eastAsia"/>
          <w:color w:val="0F6FC6" w:themeColor="accent5"/>
          <w14:textFill>
            <w14:solidFill>
              <w14:schemeClr w14:val="accent5"/>
            </w14:solidFill>
          </w14:textFill>
        </w:rPr>
        <w:t>此处</w:t>
      </w:r>
      <w:r>
        <w:rPr>
          <w:color w:val="0F6FC6" w:themeColor="accent5"/>
          <w14:textFill>
            <w14:solidFill>
              <w14:schemeClr w14:val="accent5"/>
            </w14:solidFill>
          </w14:textFill>
        </w:rPr>
        <w:t>的分析范围</w:t>
      </w:r>
      <w:r>
        <w:rPr>
          <w:rFonts w:hint="eastAsia"/>
          <w:color w:val="0F6FC6" w:themeColor="accent5"/>
          <w14:textFill>
            <w14:solidFill>
              <w14:schemeClr w14:val="accent5"/>
            </w14:solidFill>
          </w14:textFill>
        </w:rPr>
        <w:t>。</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bookmarkEnd w:id="234"/>
    <w:bookmarkEnd w:id="235"/>
    <w:bookmarkEnd w:id="236"/>
    <w:p>
      <w:pPr>
        <w:pStyle w:val="151"/>
        <w:rPr>
          <w:color w:val="0F6FC6" w:themeColor="accent5"/>
          <w14:textFill>
            <w14:solidFill>
              <w14:schemeClr w14:val="accent5"/>
            </w14:solidFill>
          </w14:textFill>
        </w:rPr>
      </w:pPr>
      <w:bookmarkStart w:id="237" w:name="_Toc81325062"/>
      <w:bookmarkStart w:id="238" w:name="_Toc92706749"/>
      <w:bookmarkStart w:id="239" w:name="_Toc487789911"/>
      <w:bookmarkStart w:id="240" w:name="_Toc487790092"/>
      <w:bookmarkStart w:id="241" w:name="_Toc496017584"/>
      <w:r>
        <w:rPr>
          <w:rFonts w:hint="eastAsia"/>
          <w:color w:val="0F6FC6" w:themeColor="accent5"/>
          <w14:textFill>
            <w14:solidFill>
              <w14:schemeClr w14:val="accent5"/>
            </w14:solidFill>
          </w14:textFill>
        </w:rPr>
        <w:t>（二）专业对口度</w:t>
      </w:r>
      <w:bookmarkEnd w:id="237"/>
      <w:bookmarkEnd w:id="238"/>
    </w:p>
    <w:p>
      <w:pPr>
        <w:pStyle w:val="178"/>
        <w:spacing w:before="156"/>
        <w:ind w:firstLine="480"/>
      </w:pPr>
      <w:r>
        <w:rPr>
          <w:rFonts w:hint="eastAsia"/>
        </w:rPr>
        <w:t>专业对口度一定程度上反映着人才培养目标的实现程度，可以作为高校未来进行专业结构调整和专业设置的参考因素。</w:t>
      </w:r>
    </w:p>
    <w:p>
      <w:pPr>
        <w:spacing w:line="360" w:lineRule="auto"/>
        <w:ind w:firstLine="480" w:firstLineChars="200"/>
        <w:jc w:val="both"/>
        <w:rPr>
          <w:color w:val="000000"/>
          <w:lang w:val="zh-CN" w:eastAsia="zh-CN"/>
        </w:rPr>
      </w:pPr>
      <w:r>
        <w:rPr>
          <w:rFonts w:hint="eastAsia"/>
          <w:b/>
          <w:color w:val="0F6FC6" w:themeColor="accent5"/>
          <w:lang w:val="zh-CN"/>
          <w14:textFill>
            <w14:solidFill>
              <w14:schemeClr w14:val="accent5"/>
            </w14:solidFill>
          </w14:textFill>
        </w:rPr>
        <w:t>总体专业对口度：</w:t>
      </w:r>
      <w:r>
        <w:rPr>
          <w:rFonts w:hint="eastAsia" w:ascii="Times New Roman" w:hAnsi="Times New Roman"/>
          <w:color w:val="000000"/>
          <w:lang w:val="zh-CN" w:eastAsia="zh-CN"/>
        </w:rPr>
        <w:t>83.48%</w:t>
      </w:r>
      <w:r>
        <w:rPr>
          <w:rFonts w:hint="eastAsia"/>
          <w:color w:val="000000"/>
          <w:lang w:val="zh-CN" w:eastAsia="zh-CN"/>
        </w:rPr>
        <w:t>的</w:t>
      </w:r>
      <w:r>
        <w:rPr>
          <w:rFonts w:hint="eastAsia"/>
          <w:color w:val="000000"/>
          <w:lang w:val="zh-CN"/>
        </w:rPr>
        <w:t>专科</w:t>
      </w:r>
      <w:r>
        <w:rPr>
          <w:rFonts w:hint="eastAsia"/>
          <w:color w:val="000000"/>
          <w:lang w:val="zh-CN" w:eastAsia="zh-CN"/>
        </w:rPr>
        <w:t>毕业生认为目前就职岗位与所学专业</w:t>
      </w:r>
      <w:r>
        <w:rPr>
          <w:rFonts w:hint="eastAsia"/>
          <w:color w:val="000000"/>
          <w:lang w:val="zh-CN"/>
        </w:rPr>
        <w:t>对口，可见</w:t>
      </w:r>
      <w:r>
        <w:rPr>
          <w:rFonts w:hint="eastAsia"/>
          <w:color w:val="000000"/>
          <w:lang w:val="zh-CN" w:eastAsia="zh-CN"/>
        </w:rPr>
        <w:t>毕业生所学专业知识及技能与实际工作的契合度较高，能够学以致用。</w:t>
      </w:r>
    </w:p>
    <w:p>
      <w:pPr>
        <w:pStyle w:val="180"/>
        <w:tabs>
          <w:tab w:val="left" w:pos="400"/>
          <w:tab w:val="center" w:pos="4394"/>
        </w:tabs>
        <w:spacing w:before="120" w:after="120" w:line="240" w:lineRule="auto"/>
        <w:rPr>
          <w:highlight w:val="green"/>
        </w:rPr>
      </w:pPr>
      <w:r>
        <w:rPr>
          <w:lang w:val="en-US"/>
        </w:rPr>
        <w:drawing>
          <wp:inline distT="0" distB="0" distL="0" distR="0">
            <wp:extent cx="4286250" cy="17907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180"/>
        <w:tabs>
          <w:tab w:val="left" w:pos="400"/>
          <w:tab w:val="center" w:pos="4394"/>
        </w:tabs>
      </w:pPr>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12</w:t>
      </w:r>
      <w:r>
        <w:fldChar w:fldCharType="end"/>
      </w:r>
      <w:r>
        <w:t xml:space="preserve">  </w:t>
      </w:r>
      <w:r>
        <w:rPr>
          <w:rFonts w:hint="eastAsia" w:eastAsia="宋体"/>
        </w:rPr>
        <w:t>2021</w:t>
      </w:r>
      <w:r>
        <w:rPr>
          <w:rFonts w:hint="eastAsia"/>
        </w:rPr>
        <w:t>届专科毕业生专业对口度分布</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专业对口度评价维度包括“很对口”、“对口”、“基本对口”、“不对口”、“很不对口”和“无法评价”；其中，对口度为选择“很对口”、“对口”和“基本对口”的人数占“此题总人数—无法评价人数”的比例。</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主要学院的专业对口度</w:t>
      </w:r>
      <w:r>
        <w:rPr>
          <w:rFonts w:ascii="Times New Roman" w:hAnsi="Times New Roman" w:cstheme="minorBidi"/>
          <w:b/>
          <w:color w:val="0F6FC6" w:themeColor="accent5"/>
          <w14:textFill>
            <w14:solidFill>
              <w14:schemeClr w14:val="accent5"/>
            </w14:solidFill>
          </w14:textFill>
        </w:rPr>
        <w:t>：</w:t>
      </w:r>
      <w:bookmarkStart w:id="242" w:name="_Hlk81238104"/>
      <w:r>
        <w:rPr>
          <w:rFonts w:hint="eastAsia" w:asciiTheme="minorEastAsia" w:hAnsiTheme="minorEastAsia"/>
          <w:color w:val="000000" w:themeColor="text1"/>
          <w:szCs w:val="21"/>
          <w14:textFill>
            <w14:solidFill>
              <w14:schemeClr w14:val="tx1"/>
            </w14:solidFill>
          </w14:textFill>
        </w:rPr>
        <w:t>专科毕业生专业对口度相对较高的学院为</w:t>
      </w:r>
      <w:r>
        <w:rPr>
          <w:rFonts w:ascii="Times New Roman" w:hAnsi="Times New Roman"/>
          <w:color w:val="000000" w:themeColor="text1"/>
          <w:szCs w:val="21"/>
          <w14:textFill>
            <w14:solidFill>
              <w14:schemeClr w14:val="tx1"/>
            </w14:solidFill>
          </w14:textFill>
        </w:rPr>
        <w:t>医学院（94.86%）、计算机工程学院（24.00%）</w:t>
      </w:r>
      <w:r>
        <w:rPr>
          <w:rFonts w:hint="eastAsia" w:ascii="Times New Roman" w:hAnsi="Times New Roman"/>
          <w:color w:val="000000" w:themeColor="text1"/>
          <w:szCs w:val="21"/>
          <w14:textFill>
            <w14:solidFill>
              <w14:schemeClr w14:val="tx1"/>
            </w14:solidFill>
          </w14:textFill>
        </w:rPr>
        <w:t>等</w:t>
      </w:r>
      <w:r>
        <w:rPr>
          <w:rFonts w:hint="eastAsia" w:asciiTheme="minorEastAsia" w:hAnsiTheme="minorEastAsia"/>
          <w:color w:val="000000" w:themeColor="text1"/>
          <w:szCs w:val="21"/>
          <w14:textFill>
            <w14:solidFill>
              <w14:schemeClr w14:val="tx1"/>
            </w14:solidFill>
          </w14:textFill>
        </w:rPr>
        <w:t>。</w:t>
      </w:r>
    </w:p>
    <w:bookmarkEnd w:id="242"/>
    <w:p>
      <w:pPr>
        <w:pStyle w:val="180"/>
      </w:pPr>
      <w:r>
        <w:t xml:space="preserve">表4- </w:t>
      </w:r>
      <w:r>
        <w:fldChar w:fldCharType="begin"/>
      </w:r>
      <w:r>
        <w:instrText xml:space="preserve"> SEQ 表3- \* ARABIC </w:instrText>
      </w:r>
      <w:r>
        <w:fldChar w:fldCharType="separate"/>
      </w:r>
      <w:r>
        <w:t>8</w:t>
      </w:r>
      <w:r>
        <w:fldChar w:fldCharType="end"/>
      </w:r>
      <w:r>
        <w:t xml:space="preserve">  </w:t>
      </w:r>
      <w:r>
        <w:rPr>
          <w:rFonts w:hint="eastAsia" w:eastAsia="宋体"/>
        </w:rPr>
        <w:t>2021</w:t>
      </w:r>
      <w:r>
        <w:rPr>
          <w:rFonts w:hint="eastAsia"/>
        </w:rPr>
        <w:t>届主要学院专科毕业生专业对口度情况分布</w:t>
      </w:r>
    </w:p>
    <w:tbl>
      <w:tblPr>
        <w:tblStyle w:val="225"/>
        <w:tblW w:w="8926"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122"/>
        <w:gridCol w:w="1134"/>
        <w:gridCol w:w="1134"/>
        <w:gridCol w:w="1134"/>
        <w:gridCol w:w="1134"/>
        <w:gridCol w:w="1134"/>
        <w:gridCol w:w="113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122"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学院</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基本对口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不对口</w:t>
            </w:r>
          </w:p>
        </w:tc>
        <w:tc>
          <w:tcPr>
            <w:tcW w:w="1134"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很不对口</w:t>
            </w:r>
          </w:p>
        </w:tc>
        <w:tc>
          <w:tcPr>
            <w:tcW w:w="1134"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对口度</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医学院</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40.00%</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35.43%</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19.43%</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4.57%</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0.57%</w:t>
            </w:r>
          </w:p>
        </w:tc>
        <w:tc>
          <w:tcPr>
            <w:tcW w:w="1134"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94.86%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计算机工程学院</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24.00%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64.00%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12.00%</w:t>
            </w:r>
          </w:p>
        </w:tc>
        <w:tc>
          <w:tcPr>
            <w:tcW w:w="1134"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24.00%</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化工与药学院、生物工程学院、经济与管理学院、电子信息工程学院、师范学院、文学与传媒学院、机械工程学院</w:t>
      </w:r>
      <w:r>
        <w:rPr>
          <w:color w:val="0F6FC6" w:themeColor="accent5"/>
          <w14:textFill>
            <w14:solidFill>
              <w14:schemeClr w14:val="accent5"/>
            </w14:solidFill>
          </w14:textFill>
        </w:rPr>
        <w:t>样本量较小，不纳入到报告的分析范围。</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220"/>
        <w:ind w:firstLine="482"/>
      </w:pPr>
      <w:r>
        <w:rPr>
          <w:rFonts w:hint="eastAsia"/>
          <w:b/>
          <w:color w:val="0F6FC6" w:themeColor="accent5"/>
          <w:lang w:val="zh-CN"/>
          <w14:textFill>
            <w14:solidFill>
              <w14:schemeClr w14:val="accent5"/>
            </w14:solidFill>
          </w14:textFill>
        </w:rPr>
        <w:t>主要专业</w:t>
      </w:r>
      <w:r>
        <w:rPr>
          <w:b/>
          <w:color w:val="0F6FC6" w:themeColor="accent5"/>
          <w:lang w:val="zh-CN" w:eastAsia="zh-CN"/>
          <w14:textFill>
            <w14:solidFill>
              <w14:schemeClr w14:val="accent5"/>
            </w14:solidFill>
          </w14:textFill>
        </w:rPr>
        <w:t>的</w:t>
      </w:r>
      <w:r>
        <w:rPr>
          <w:rFonts w:hint="eastAsia"/>
          <w:b/>
          <w:color w:val="0F6FC6" w:themeColor="accent5"/>
          <w14:textFill>
            <w14:solidFill>
              <w14:schemeClr w14:val="accent5"/>
            </w14:solidFill>
          </w14:textFill>
        </w:rPr>
        <w:t>专业对口度</w:t>
      </w:r>
      <w:r>
        <w:rPr>
          <w:b/>
          <w:color w:val="0F6FC6" w:themeColor="accent5"/>
          <w:lang w:val="zh-CN" w:eastAsia="zh-CN"/>
          <w14:textFill>
            <w14:solidFill>
              <w14:schemeClr w14:val="accent5"/>
            </w14:solidFill>
          </w14:textFill>
        </w:rPr>
        <w:t>：</w:t>
      </w:r>
      <w:bookmarkStart w:id="243" w:name="_Hlk81238136"/>
      <w:r>
        <w:rPr>
          <w:rFonts w:hint="eastAsia"/>
        </w:rPr>
        <w:t>专科毕业生专业对口度相对较高的专业为口腔医学（95.19%）、临床医学（93.85%）、计算机应用技术（24.00%）等。</w:t>
      </w:r>
    </w:p>
    <w:bookmarkEnd w:id="243"/>
    <w:p>
      <w:pPr>
        <w:pStyle w:val="180"/>
      </w:pPr>
      <w:r>
        <w:t xml:space="preserve">表4- </w:t>
      </w:r>
      <w:r>
        <w:fldChar w:fldCharType="begin"/>
      </w:r>
      <w:r>
        <w:instrText xml:space="preserve"> SEQ 表3- \* ARABIC </w:instrText>
      </w:r>
      <w:r>
        <w:fldChar w:fldCharType="separate"/>
      </w:r>
      <w:r>
        <w:t>9</w:t>
      </w:r>
      <w:r>
        <w:fldChar w:fldCharType="end"/>
      </w:r>
      <w:r>
        <w:t xml:space="preserve">  </w:t>
      </w:r>
      <w:r>
        <w:rPr>
          <w:rFonts w:hint="eastAsia"/>
        </w:rPr>
        <w:t>2021届主要专业专科毕业</w:t>
      </w:r>
      <w:r>
        <w:t>生</w:t>
      </w:r>
      <w:r>
        <w:rPr>
          <w:rFonts w:hint="eastAsia"/>
        </w:rPr>
        <w:t>专业对口度情况分布</w:t>
      </w:r>
    </w:p>
    <w:tbl>
      <w:tblPr>
        <w:tblStyle w:val="225"/>
        <w:tblW w:w="8789"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552"/>
        <w:gridCol w:w="987"/>
        <w:gridCol w:w="992"/>
        <w:gridCol w:w="1140"/>
        <w:gridCol w:w="987"/>
        <w:gridCol w:w="1139"/>
        <w:gridCol w:w="99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552"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987"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很对口</w:t>
            </w:r>
          </w:p>
        </w:tc>
        <w:tc>
          <w:tcPr>
            <w:tcW w:w="992"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w:t>
            </w:r>
          </w:p>
        </w:tc>
        <w:tc>
          <w:tcPr>
            <w:tcW w:w="1140"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基本对口</w:t>
            </w:r>
          </w:p>
        </w:tc>
        <w:tc>
          <w:tcPr>
            <w:tcW w:w="987"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不对口</w:t>
            </w:r>
          </w:p>
        </w:tc>
        <w:tc>
          <w:tcPr>
            <w:tcW w:w="1139" w:type="dxa"/>
            <w:tcBorders>
              <w:top w:val="single" w:color="0F6FC6" w:sz="4" w:space="0"/>
              <w:bottom w:val="single" w:color="0F6FC6" w:sz="4" w:space="0"/>
              <w:right w:val="nil"/>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很不对口</w:t>
            </w:r>
          </w:p>
        </w:tc>
        <w:tc>
          <w:tcPr>
            <w:tcW w:w="992"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widowControl w:val="0"/>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对口度</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口腔医学</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42.31%</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41.35%</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11.54%</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3.85%</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0.96%</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95.19%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临床医学</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38.46%</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21.54%</w:t>
            </w:r>
          </w:p>
        </w:tc>
        <w:tc>
          <w:tcPr>
            <w:tcW w:w="1140"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33.85%</w:t>
            </w:r>
          </w:p>
        </w:tc>
        <w:tc>
          <w:tcPr>
            <w:tcW w:w="987"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6.15%</w:t>
            </w:r>
          </w:p>
        </w:tc>
        <w:tc>
          <w:tcPr>
            <w:tcW w:w="1139"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93.85%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552" w:type="dxa"/>
            <w:shd w:val="clear" w:color="auto" w:fill="C7E2FA"/>
            <w:vAlign w:val="center"/>
          </w:tcPr>
          <w:p>
            <w:pPr>
              <w:widowControl w:val="0"/>
              <w:spacing w:before="0"/>
              <w:jc w:val="center"/>
              <w:rPr>
                <w:rFonts w:ascii="Times New Roman" w:hAnsi="Times New Roman" w:cs="Times New Roman"/>
                <w:b/>
                <w:bCs/>
                <w:sz w:val="21"/>
                <w:szCs w:val="21"/>
              </w:rPr>
            </w:pPr>
            <w:r>
              <w:rPr>
                <w:rFonts w:ascii="Times New Roman" w:hAnsi="Times New Roman" w:cs="Times New Roman"/>
                <w:b w:val="0"/>
                <w:bCs w:val="0"/>
                <w:color w:val="000000"/>
                <w:sz w:val="21"/>
                <w:szCs w:val="21"/>
              </w:rPr>
              <w:t>计算机应用技术</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0.00%</w:t>
            </w:r>
          </w:p>
        </w:tc>
        <w:tc>
          <w:tcPr>
            <w:tcW w:w="1140"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24.00%</w:t>
            </w:r>
          </w:p>
        </w:tc>
        <w:tc>
          <w:tcPr>
            <w:tcW w:w="987"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64.00%</w:t>
            </w:r>
          </w:p>
        </w:tc>
        <w:tc>
          <w:tcPr>
            <w:tcW w:w="1139"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12.00%</w:t>
            </w:r>
          </w:p>
        </w:tc>
        <w:tc>
          <w:tcPr>
            <w:tcW w:w="992" w:type="dxa"/>
            <w:shd w:val="clear" w:color="auto" w:fill="C7E2FA"/>
            <w:vAlign w:val="center"/>
          </w:tcPr>
          <w:p>
            <w:pPr>
              <w:widowControl w:val="0"/>
              <w:spacing w:before="0"/>
              <w:jc w:val="center"/>
              <w:rPr>
                <w:rFonts w:ascii="Times New Roman" w:hAnsi="Times New Roman" w:cs="Times New Roman"/>
                <w:sz w:val="21"/>
                <w:szCs w:val="21"/>
              </w:rPr>
            </w:pPr>
            <w:r>
              <w:rPr>
                <w:rFonts w:ascii="Times New Roman" w:hAnsi="Times New Roman" w:cs="Times New Roman"/>
                <w:color w:val="000000"/>
                <w:sz w:val="21"/>
                <w:szCs w:val="21"/>
              </w:rPr>
              <w:t>24.00%</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应用化工技术、石油化工技术、航空材料精密成型技术、园林技术、会计、护理、数字图文信息技术、学前教育、电气自动化技术、语文教育、数控技术</w:t>
      </w:r>
      <w:r>
        <w:rPr>
          <w:color w:val="0F6FC6" w:themeColor="accent5"/>
          <w14:textFill>
            <w14:solidFill>
              <w14:schemeClr w14:val="accent5"/>
            </w14:solidFill>
          </w14:textFill>
        </w:rPr>
        <w:t>专业样本量较小，不纳入到报告的分析范围。</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bookmarkEnd w:id="239"/>
    <w:bookmarkEnd w:id="240"/>
    <w:bookmarkEnd w:id="241"/>
    <w:p>
      <w:pPr>
        <w:pStyle w:val="151"/>
        <w:rPr>
          <w:color w:val="0F6FC6" w:themeColor="accent5"/>
          <w14:textFill>
            <w14:solidFill>
              <w14:schemeClr w14:val="accent5"/>
            </w14:solidFill>
          </w14:textFill>
        </w:rPr>
      </w:pPr>
      <w:bookmarkStart w:id="244" w:name="_Toc92706750"/>
      <w:bookmarkStart w:id="245" w:name="_Toc81325063"/>
      <w:r>
        <w:rPr>
          <w:rFonts w:hint="eastAsia"/>
          <w:color w:val="0F6FC6" w:themeColor="accent5"/>
          <w14:textFill>
            <w14:solidFill>
              <w14:schemeClr w14:val="accent5"/>
            </w14:solidFill>
          </w14:textFill>
        </w:rPr>
        <w:t>（三</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工作</w:t>
      </w:r>
      <w:r>
        <w:rPr>
          <w:color w:val="0F6FC6" w:themeColor="accent5"/>
          <w14:textFill>
            <w14:solidFill>
              <w14:schemeClr w14:val="accent5"/>
            </w14:solidFill>
          </w14:textFill>
        </w:rPr>
        <w:t>满意</w:t>
      </w:r>
      <w:r>
        <w:rPr>
          <w:rFonts w:hint="eastAsia"/>
          <w:color w:val="0F6FC6" w:themeColor="accent5"/>
          <w14:textFill>
            <w14:solidFill>
              <w14:schemeClr w14:val="accent5"/>
            </w14:solidFill>
          </w14:textFill>
        </w:rPr>
        <w:t>度</w:t>
      </w:r>
      <w:r>
        <w:rPr>
          <w:rStyle w:val="41"/>
          <w:color w:val="0F6FC6" w:themeColor="accent5"/>
          <w14:textFill>
            <w14:solidFill>
              <w14:schemeClr w14:val="accent5"/>
            </w14:solidFill>
          </w14:textFill>
        </w:rPr>
        <w:footnoteReference w:id="4"/>
      </w:r>
      <w:bookmarkEnd w:id="244"/>
      <w:bookmarkEnd w:id="245"/>
    </w:p>
    <w:p>
      <w:pPr>
        <w:pStyle w:val="178"/>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pPr>
        <w:pStyle w:val="178"/>
        <w:spacing w:before="156" w:after="156"/>
        <w:ind w:firstLine="482"/>
      </w:pPr>
      <w:r>
        <w:rPr>
          <w:rFonts w:hint="eastAsia" w:cstheme="minorBidi"/>
          <w:b/>
          <w:bCs w:val="0"/>
          <w:color w:val="0F6FC6" w:themeColor="accent5"/>
          <w:szCs w:val="24"/>
          <w:lang w:val="en-US"/>
          <w14:textFill>
            <w14:solidFill>
              <w14:schemeClr w14:val="accent5"/>
            </w14:solidFill>
          </w14:textFill>
        </w:rPr>
        <w:t>工作</w:t>
      </w:r>
      <w:r>
        <w:rPr>
          <w:rFonts w:cstheme="minorBidi"/>
          <w:b/>
          <w:bCs w:val="0"/>
          <w:color w:val="0F6FC6" w:themeColor="accent5"/>
          <w:szCs w:val="24"/>
          <w:lang w:val="en-US"/>
          <w14:textFill>
            <w14:solidFill>
              <w14:schemeClr w14:val="accent5"/>
            </w14:solidFill>
          </w14:textFill>
        </w:rPr>
        <w:t>总体及各方面的满意度：</w:t>
      </w:r>
      <w:r>
        <w:rPr>
          <w:rFonts w:hint="eastAsia"/>
        </w:rPr>
        <w:t>学校</w:t>
      </w:r>
      <w:r>
        <w:t>2021届</w:t>
      </w:r>
      <w:r>
        <w:rPr>
          <w:rFonts w:hint="eastAsia"/>
        </w:rPr>
        <w:t>专科毕业生对目前</w:t>
      </w:r>
      <w:r>
        <w:t>工作</w:t>
      </w:r>
      <w:r>
        <w:rPr>
          <w:rFonts w:hint="eastAsia"/>
        </w:rPr>
        <w:t>总体满意度为</w:t>
      </w:r>
      <w:r>
        <w:rPr>
          <w:rFonts w:hint="eastAsia"/>
          <w:lang w:val="en-US"/>
        </w:rPr>
        <w:t>91.74%</w:t>
      </w:r>
      <w:r>
        <w:rPr>
          <w:lang w:val="en-US"/>
        </w:rPr>
        <w:t>；</w:t>
      </w:r>
      <w:r>
        <w:rPr>
          <w:rFonts w:hint="eastAsia"/>
        </w:rPr>
        <w:t>对职业发展前景、工作内容、薪酬的满意度分别为</w:t>
      </w:r>
      <w:r>
        <w:rPr>
          <w:rFonts w:hint="eastAsia"/>
          <w:lang w:val="en-US"/>
        </w:rPr>
        <w:t>88.73%</w:t>
      </w:r>
      <w:r>
        <w:rPr>
          <w:rFonts w:hint="eastAsia"/>
        </w:rPr>
        <w:t>、</w:t>
      </w:r>
      <w:r>
        <w:rPr>
          <w:rFonts w:hint="eastAsia"/>
          <w:lang w:val="en-US"/>
        </w:rPr>
        <w:t>88.58%</w:t>
      </w:r>
      <w:r>
        <w:rPr>
          <w:rFonts w:hint="eastAsia"/>
        </w:rPr>
        <w:t>、</w:t>
      </w:r>
      <w:r>
        <w:rPr>
          <w:rFonts w:hint="eastAsia"/>
          <w:lang w:val="en-US"/>
        </w:rPr>
        <w:t>70.37%</w:t>
      </w:r>
      <w:r>
        <w:t>。</w:t>
      </w:r>
      <w:r>
        <w:rPr>
          <w:rFonts w:hint="eastAsia"/>
        </w:rPr>
        <w:t>可见专科毕业生</w:t>
      </w:r>
      <w:r>
        <w:t>对初入</w:t>
      </w:r>
      <w:r>
        <w:rPr>
          <w:rFonts w:hint="eastAsia"/>
        </w:rPr>
        <w:t>职场的</w:t>
      </w:r>
      <w:r>
        <w:t>岗位</w:t>
      </w:r>
      <w:r>
        <w:rPr>
          <w:rFonts w:hint="eastAsia"/>
        </w:rPr>
        <w:t>和</w:t>
      </w:r>
      <w:r>
        <w:t>工作内容</w:t>
      </w:r>
      <w:r>
        <w:rPr>
          <w:rFonts w:hint="eastAsia"/>
        </w:rPr>
        <w:t>等</w:t>
      </w:r>
      <w:r>
        <w:t>方面</w:t>
      </w:r>
      <w:r>
        <w:rPr>
          <w:rFonts w:hint="eastAsia"/>
        </w:rPr>
        <w:t>均比较</w:t>
      </w:r>
      <w:r>
        <w:t>认同</w:t>
      </w:r>
      <w:r>
        <w:rPr>
          <w:rFonts w:hint="eastAsia"/>
        </w:rPr>
        <w:t>。</w:t>
      </w:r>
    </w:p>
    <w:p>
      <w:pPr>
        <w:pStyle w:val="178"/>
        <w:spacing w:before="156" w:after="156"/>
        <w:ind w:firstLine="199" w:firstLineChars="83"/>
        <w:jc w:val="center"/>
      </w:pPr>
      <w:r>
        <w:rPr>
          <w:lang w:val="en-US"/>
        </w:rPr>
        <w:drawing>
          <wp:inline distT="0" distB="0" distL="0" distR="0">
            <wp:extent cx="5000625" cy="1876425"/>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180"/>
      </w:pPr>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13</w:t>
      </w:r>
      <w:r>
        <w:fldChar w:fldCharType="end"/>
      </w:r>
      <w:r>
        <w:t xml:space="preserve">  2021届</w:t>
      </w:r>
      <w:r>
        <w:rPr>
          <w:rFonts w:hint="eastAsia"/>
        </w:rPr>
        <w:t>专科</w:t>
      </w:r>
      <w:r>
        <w:t>毕业生对工作满意度的评价</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评价维度包括“很满意”、“满意”、“基本满意”、“不满意”、“很不满意”和“无法评价”；其中，满意度为选择“很满意”、“满意”和“基本满意”的人数占“此题总人数—无法评价人数”的比例。</w:t>
      </w:r>
    </w:p>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数据来源</w:t>
      </w:r>
      <w:r>
        <w:rPr>
          <w:rFonts w:hint="eastAsia"/>
          <w:color w:val="0F6FC6" w:themeColor="accent5"/>
          <w14:textFill>
            <w14:solidFill>
              <w14:schemeClr w14:val="accent5"/>
            </w14:solidFill>
          </w14:textFill>
        </w:rPr>
        <w:t>：第三方机构新锦成-2021届</w:t>
      </w:r>
      <w:r>
        <w:rPr>
          <w:color w:val="0F6FC6" w:themeColor="accent5"/>
          <w14:textFill>
            <w14:solidFill>
              <w14:schemeClr w14:val="accent5"/>
            </w14:solidFill>
          </w14:textFill>
        </w:rPr>
        <w:t>毕业生就业与培养质量调查。</w:t>
      </w:r>
    </w:p>
    <w:p>
      <w:pPr>
        <w:spacing w:before="156" w:beforeLines="50"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主要学院工作</w:t>
      </w:r>
      <w:r>
        <w:rPr>
          <w:rFonts w:ascii="Times New Roman" w:hAnsi="Times New Roman" w:cstheme="minorBidi"/>
          <w:b/>
          <w:color w:val="0F6FC6" w:themeColor="accent5"/>
          <w14:textFill>
            <w14:solidFill>
              <w14:schemeClr w14:val="accent5"/>
            </w14:solidFill>
          </w14:textFill>
        </w:rPr>
        <w:t>满意度：</w:t>
      </w:r>
      <w:bookmarkStart w:id="246" w:name="_Hlk81238164"/>
      <w:r>
        <w:rPr>
          <w:rFonts w:hint="eastAsia" w:asciiTheme="minorEastAsia" w:hAnsiTheme="minorEastAsia"/>
          <w:color w:val="000000" w:themeColor="text1"/>
          <w:szCs w:val="21"/>
          <w14:textFill>
            <w14:solidFill>
              <w14:schemeClr w14:val="tx1"/>
            </w14:solidFill>
          </w14:textFill>
        </w:rPr>
        <w:t>从工作总体满意度来看，</w:t>
      </w:r>
      <w:r>
        <w:rPr>
          <w:rFonts w:hint="eastAsia" w:ascii="Times New Roman" w:hAnsi="Times New Roman"/>
          <w:color w:val="000000" w:themeColor="text1"/>
          <w:szCs w:val="21"/>
          <w14:textFill>
            <w14:solidFill>
              <w14:schemeClr w14:val="tx1"/>
            </w14:solidFill>
          </w14:textFill>
        </w:rPr>
        <w:t>计算机工程学院（96.15%）、医学院（91.72%）</w:t>
      </w:r>
      <w:r>
        <w:rPr>
          <w:rFonts w:hint="eastAsia" w:asciiTheme="minorEastAsia" w:hAnsiTheme="minorEastAsia"/>
          <w:color w:val="000000" w:themeColor="text1"/>
          <w:szCs w:val="21"/>
          <w14:textFill>
            <w14:solidFill>
              <w14:schemeClr w14:val="tx1"/>
            </w14:solidFill>
          </w14:textFill>
        </w:rPr>
        <w:t>等学院的专科毕业生的工作满意度相对较高。</w:t>
      </w:r>
      <w:bookmarkEnd w:id="246"/>
    </w:p>
    <w:p>
      <w:pPr>
        <w:pStyle w:val="180"/>
      </w:pPr>
      <w:r>
        <w:t xml:space="preserve">表4- </w:t>
      </w:r>
      <w:r>
        <w:fldChar w:fldCharType="begin"/>
      </w:r>
      <w:r>
        <w:instrText xml:space="preserve"> SEQ 表3- \* ARABIC </w:instrText>
      </w:r>
      <w:r>
        <w:fldChar w:fldCharType="separate"/>
      </w:r>
      <w:r>
        <w:t>10</w:t>
      </w:r>
      <w:r>
        <w:fldChar w:fldCharType="end"/>
      </w:r>
      <w:r>
        <w:t xml:space="preserve">  </w:t>
      </w:r>
      <w:r>
        <w:rPr>
          <w:rFonts w:hint="eastAsia" w:eastAsia="宋体"/>
        </w:rPr>
        <w:t>2021</w:t>
      </w:r>
      <w:r>
        <w:rPr>
          <w:rFonts w:hint="eastAsia"/>
        </w:rPr>
        <w:t>届主要学院专科毕业生工作满意度</w:t>
      </w:r>
      <w:r>
        <w:t>评价</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561"/>
        <w:gridCol w:w="1610"/>
        <w:gridCol w:w="1611"/>
        <w:gridCol w:w="1611"/>
        <w:gridCol w:w="161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学院</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职业前景</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工作薪酬</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计算机工程学院</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88.46%</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80.77%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96.15%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医学院</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88.82%</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90.36%</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67.86%</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91.72%</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化工与药学院、生物工程学院、经济与管理学院、师范学院、机械工程学院、电子信息工程学院、文学与传媒学院等</w:t>
      </w:r>
      <w:r>
        <w:rPr>
          <w:color w:val="0F6FC6" w:themeColor="accent5"/>
          <w14:textFill>
            <w14:solidFill>
              <w14:schemeClr w14:val="accent5"/>
            </w14:solidFill>
          </w14:textFill>
        </w:rPr>
        <w:t>样本量较小，不纳入到报告的分析范围。</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after="163" w:line="360" w:lineRule="auto"/>
        <w:ind w:firstLine="420"/>
        <w:jc w:val="both"/>
        <w:rPr>
          <w:rFonts w:asciiTheme="minorEastAsia" w:hAnsiTheme="minorEastAsia"/>
          <w:color w:val="000000" w:themeColor="text1"/>
          <w:szCs w:val="2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主要专业工作满意度：</w:t>
      </w:r>
      <w:bookmarkStart w:id="247" w:name="_Hlk81238218"/>
      <w:r>
        <w:rPr>
          <w:rFonts w:hint="eastAsia" w:asciiTheme="minorEastAsia" w:hAnsiTheme="minorEastAsia"/>
          <w:color w:val="000000" w:themeColor="text1"/>
          <w:szCs w:val="21"/>
          <w14:textFill>
            <w14:solidFill>
              <w14:schemeClr w14:val="tx1"/>
            </w14:solidFill>
          </w14:textFill>
        </w:rPr>
        <w:t>从工作总体满意度来看，</w:t>
      </w:r>
      <w:r>
        <w:rPr>
          <w:rFonts w:ascii="Times New Roman" w:hAnsi="Times New Roman"/>
          <w:color w:val="000000" w:themeColor="text1"/>
          <w:szCs w:val="21"/>
          <w14:textFill>
            <w14:solidFill>
              <w14:schemeClr w14:val="tx1"/>
            </w14:solidFill>
          </w14:textFill>
        </w:rPr>
        <w:t>计算机应用技术（96.15%）、口腔医学（92.00%）、临床医学（90.48%）</w:t>
      </w:r>
      <w:r>
        <w:rPr>
          <w:rFonts w:hint="eastAsia" w:asciiTheme="minorEastAsia" w:hAnsiTheme="minorEastAsia"/>
          <w:color w:val="000000" w:themeColor="text1"/>
          <w:szCs w:val="21"/>
          <w14:textFill>
            <w14:solidFill>
              <w14:schemeClr w14:val="tx1"/>
            </w14:solidFill>
          </w14:textFill>
        </w:rPr>
        <w:t>专业的专科毕业生的工作满意度相对较高。</w:t>
      </w:r>
    </w:p>
    <w:bookmarkEnd w:id="247"/>
    <w:p>
      <w:pPr>
        <w:pStyle w:val="180"/>
      </w:pPr>
      <w:r>
        <w:t xml:space="preserve">表4- </w:t>
      </w:r>
      <w:r>
        <w:fldChar w:fldCharType="begin"/>
      </w:r>
      <w:r>
        <w:instrText xml:space="preserve"> SEQ 表3- \* ARABIC </w:instrText>
      </w:r>
      <w:r>
        <w:fldChar w:fldCharType="separate"/>
      </w:r>
      <w:r>
        <w:t>11</w:t>
      </w:r>
      <w:r>
        <w:fldChar w:fldCharType="end"/>
      </w:r>
      <w:r>
        <w:t xml:space="preserve">  </w:t>
      </w:r>
      <w:r>
        <w:rPr>
          <w:rFonts w:hint="eastAsia"/>
        </w:rPr>
        <w:t>2021届主要专业专科毕业生工作满意度</w:t>
      </w:r>
      <w:r>
        <w:t>评价</w:t>
      </w:r>
    </w:p>
    <w:tbl>
      <w:tblPr>
        <w:tblStyle w:val="22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561"/>
        <w:gridCol w:w="1610"/>
        <w:gridCol w:w="1611"/>
        <w:gridCol w:w="1611"/>
        <w:gridCol w:w="161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职业前景</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工作薪酬</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spacing w:before="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工作总体</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计算机应用技术</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88.46%</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80.00%</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80.77%</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96.15%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口腔医学</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87.00%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95.00%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71.00%</w:t>
            </w:r>
          </w:p>
        </w:tc>
        <w:tc>
          <w:tcPr>
            <w:tcW w:w="0" w:type="auto"/>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92.00%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spacing w:before="0"/>
              <w:jc w:val="center"/>
              <w:rPr>
                <w:rFonts w:ascii="Times New Roman" w:hAnsi="Times New Roman" w:cs="Times New Roman"/>
                <w:b/>
                <w:bCs/>
                <w:sz w:val="21"/>
                <w:szCs w:val="21"/>
              </w:rPr>
            </w:pPr>
            <w:r>
              <w:rPr>
                <w:rFonts w:ascii="Times New Roman" w:hAnsi="Times New Roman" w:cs="Times New Roman"/>
                <w:b w:val="0"/>
                <w:bCs w:val="0"/>
                <w:sz w:val="21"/>
                <w:szCs w:val="21"/>
              </w:rPr>
              <w:t>临床医学</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93.75%</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83.61%</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64.52%</w:t>
            </w:r>
          </w:p>
        </w:tc>
        <w:tc>
          <w:tcPr>
            <w:tcW w:w="0" w:type="auto"/>
            <w:shd w:val="clear" w:color="auto" w:fill="C7E2FA"/>
            <w:vAlign w:val="center"/>
          </w:tcPr>
          <w:p>
            <w:pPr>
              <w:spacing w:before="0"/>
              <w:jc w:val="center"/>
              <w:rPr>
                <w:rFonts w:ascii="Times New Roman" w:hAnsi="Times New Roman" w:cs="Times New Roman"/>
                <w:bCs/>
                <w:color w:val="000000"/>
                <w:sz w:val="21"/>
                <w:szCs w:val="21"/>
              </w:rPr>
            </w:pPr>
            <w:r>
              <w:rPr>
                <w:rFonts w:ascii="Times New Roman" w:hAnsi="Times New Roman" w:eastAsia="等线" w:cs="Times New Roman"/>
                <w:bCs/>
                <w:sz w:val="21"/>
                <w:szCs w:val="21"/>
              </w:rPr>
              <w:t>90.48%</w:t>
            </w:r>
          </w:p>
        </w:tc>
      </w:tr>
    </w:tbl>
    <w:p>
      <w:pPr>
        <w:pStyle w:val="131"/>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t>注：</w:t>
      </w:r>
      <w:r>
        <w:rPr>
          <w:rFonts w:hint="eastAsia"/>
          <w:color w:val="0F6FC6" w:themeColor="accent5"/>
          <w14:textFill>
            <w14:solidFill>
              <w14:schemeClr w14:val="accent5"/>
            </w14:solidFill>
          </w14:textFill>
        </w:rPr>
        <w:t>应用化工技术、石油化工技术、航空材料精密成型技术、园林技术、会计、护理、学前教育、数控技术、数字图文信息技术、电气自动化技术、语文教育</w:t>
      </w:r>
      <w:r>
        <w:rPr>
          <w:color w:val="0F6FC6" w:themeColor="accent5"/>
          <w14:textFill>
            <w14:solidFill>
              <w14:schemeClr w14:val="accent5"/>
            </w14:solidFill>
          </w14:textFill>
        </w:rPr>
        <w:t>等专业样本量较小，不纳入到报告的分析范围。</w:t>
      </w:r>
    </w:p>
    <w:p>
      <w:pPr>
        <w:pStyle w:val="131"/>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35"/>
        <w:spacing w:before="156" w:beforeLines="50"/>
        <w:ind w:firstLine="482"/>
      </w:pPr>
      <w:r>
        <w:rPr>
          <w:rFonts w:hint="eastAsia"/>
          <w:b/>
          <w:color w:val="0F6FC6" w:themeColor="accent5"/>
          <w14:textFill>
            <w14:solidFill>
              <w14:schemeClr w14:val="accent5"/>
            </w14:solidFill>
          </w14:textFill>
        </w:rPr>
        <w:t>主要就业行业的工作满意度：</w:t>
      </w:r>
      <w:r>
        <w:rPr>
          <w:rFonts w:hint="eastAsia"/>
        </w:rPr>
        <w:t>就业于“卫生和社会工作”（91.88%</w:t>
      </w:r>
      <w:r>
        <w:t>）</w:t>
      </w:r>
      <w:r>
        <w:rPr>
          <w:rFonts w:hint="eastAsia"/>
        </w:rPr>
        <w:t>的专科毕业生对目前</w:t>
      </w:r>
      <w:r>
        <w:rPr>
          <w:rFonts w:hint="eastAsia" w:asciiTheme="minorEastAsia" w:hAnsiTheme="minorEastAsia"/>
        </w:rPr>
        <w:t>工作</w:t>
      </w:r>
      <w:r>
        <w:rPr>
          <w:rFonts w:hint="eastAsia"/>
        </w:rPr>
        <w:t>满意度评价相对较高。</w:t>
      </w:r>
    </w:p>
    <w:p>
      <w:pPr>
        <w:pStyle w:val="135"/>
        <w:ind w:firstLine="0" w:firstLineChars="0"/>
        <w:jc w:val="center"/>
        <w:rPr>
          <w:rFonts w:asciiTheme="minorEastAsia" w:hAnsiTheme="minorEastAsia"/>
          <w:color w:val="0F6FC6" w:themeColor="accent5"/>
          <w14:textFill>
            <w14:solidFill>
              <w14:schemeClr w14:val="accent5"/>
            </w14:solidFill>
          </w14:textFill>
        </w:rPr>
      </w:pPr>
      <w:r>
        <w:drawing>
          <wp:inline distT="0" distB="0" distL="0" distR="0">
            <wp:extent cx="5422900" cy="628650"/>
            <wp:effectExtent l="0" t="0" r="635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180"/>
        <w:tabs>
          <w:tab w:val="left" w:pos="400"/>
          <w:tab w:val="center" w:pos="4394"/>
        </w:tabs>
        <w:rPr>
          <w:bCs/>
        </w:rPr>
      </w:pPr>
      <w:bookmarkStart w:id="248" w:name="_Toc521678869"/>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14</w:t>
      </w:r>
      <w:r>
        <w:fldChar w:fldCharType="end"/>
      </w:r>
      <w:r>
        <w:rPr>
          <w:rFonts w:hint="eastAsia"/>
          <w:bCs/>
        </w:rPr>
        <w:t xml:space="preserve">  2021届专科毕业生主要就业行业的工作满意度分布</w:t>
      </w:r>
      <w:bookmarkEnd w:id="248"/>
      <w:r>
        <w:rPr>
          <w:rFonts w:hint="eastAsia"/>
          <w:bCs/>
        </w:rPr>
        <w:t xml:space="preserve"> </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注：主要就业行业指就业人数≥20人的行业。</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51"/>
        <w:rPr>
          <w:color w:val="0F6FC6" w:themeColor="accent5"/>
          <w14:textFill>
            <w14:solidFill>
              <w14:schemeClr w14:val="accent5"/>
            </w14:solidFill>
          </w14:textFill>
        </w:rPr>
      </w:pPr>
      <w:bookmarkStart w:id="249" w:name="_Toc81325064"/>
      <w:bookmarkStart w:id="250" w:name="_Toc92706751"/>
      <w:bookmarkStart w:id="251" w:name="_Toc496017585"/>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毕业生发展成长度</w:t>
      </w:r>
      <w:bookmarkEnd w:id="249"/>
      <w:bookmarkEnd w:id="250"/>
    </w:p>
    <w:bookmarkEnd w:id="251"/>
    <w:p>
      <w:pPr>
        <w:pStyle w:val="178"/>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pPr>
        <w:spacing w:before="156" w:beforeLines="50" w:after="120" w:line="360" w:lineRule="auto"/>
        <w:ind w:firstLine="480"/>
        <w:jc w:val="both"/>
        <w:rPr>
          <w:rFonts w:ascii="Times New Roman" w:hAnsi="Times New Roman" w:eastAsiaTheme="minorEastAsia"/>
          <w:b/>
          <w:bCs/>
          <w:color w:val="0F6FC6" w:themeColor="accent5"/>
          <w14:textFill>
            <w14:solidFill>
              <w14:schemeClr w14:val="accent5"/>
            </w14:solidFill>
          </w14:textFill>
        </w:rPr>
      </w:pPr>
      <w:r>
        <w:rPr>
          <w:rFonts w:ascii="Times New Roman" w:hAnsi="Times New Roman" w:eastAsiaTheme="minorEastAsia"/>
          <w:b/>
          <w:bCs/>
          <w:color w:val="0F6FC6" w:themeColor="accent5"/>
          <w14:textFill>
            <w14:solidFill>
              <w14:schemeClr w14:val="accent5"/>
            </w14:solidFill>
          </w14:textFill>
        </w:rPr>
        <w:t>1.</w:t>
      </w:r>
      <w:r>
        <w:rPr>
          <w:rFonts w:hint="eastAsia" w:ascii="Times New Roman" w:hAnsi="Times New Roman" w:eastAsiaTheme="minorEastAsia"/>
          <w:b/>
          <w:bCs/>
          <w:color w:val="0F6FC6" w:themeColor="accent5"/>
          <w14:textFill>
            <w14:solidFill>
              <w14:schemeClr w14:val="accent5"/>
            </w14:solidFill>
          </w14:textFill>
        </w:rPr>
        <w:t>职业期待吻合度</w:t>
      </w:r>
    </w:p>
    <w:p>
      <w:pPr>
        <w:spacing w:before="156" w:beforeLines="50" w:after="120" w:line="360" w:lineRule="auto"/>
        <w:ind w:firstLine="480"/>
        <w:jc w:val="both"/>
        <w:rPr>
          <w:rFonts w:asciiTheme="minorEastAsia" w:hAnsiTheme="minorEastAsia" w:eastAsiaTheme="minorEastAsia"/>
          <w:color w:val="000000" w:themeColor="text1"/>
          <w14:textFill>
            <w14:solidFill>
              <w14:schemeClr w14:val="tx1"/>
            </w14:solidFill>
          </w14:textFill>
        </w:rPr>
      </w:pPr>
      <w:r>
        <w:rPr>
          <w:rFonts w:hint="eastAsia" w:ascii="Times New Roman" w:hAnsi="Times New Roman" w:cstheme="minorBidi"/>
          <w:b/>
          <w:color w:val="0F6FC6" w:themeColor="accent5"/>
          <w14:textFill>
            <w14:solidFill>
              <w14:schemeClr w14:val="accent5"/>
            </w14:solidFill>
          </w14:textFill>
        </w:rPr>
        <w:t>总体</w:t>
      </w:r>
      <w:r>
        <w:rPr>
          <w:rFonts w:ascii="Times New Roman" w:hAnsi="Times New Roman" w:cstheme="minorBidi"/>
          <w:b/>
          <w:color w:val="0F6FC6" w:themeColor="accent5"/>
          <w14:textFill>
            <w14:solidFill>
              <w14:schemeClr w14:val="accent5"/>
            </w14:solidFill>
          </w14:textFill>
        </w:rPr>
        <w:t>职业期待吻合度：</w:t>
      </w:r>
      <w:r>
        <w:rPr>
          <w:rFonts w:ascii="Times New Roman" w:hAnsi="Times New Roman"/>
          <w:color w:val="000000" w:themeColor="text1"/>
          <w14:textFill>
            <w14:solidFill>
              <w14:schemeClr w14:val="tx1"/>
            </w14:solidFill>
          </w14:textFill>
        </w:rPr>
        <w:t>2021届</w:t>
      </w:r>
      <w:r>
        <w:rPr>
          <w:rFonts w:hint="eastAsia" w:asciiTheme="minorEastAsia" w:hAnsiTheme="minorEastAsia" w:eastAsiaTheme="minorEastAsia"/>
          <w:color w:val="000000" w:themeColor="text1"/>
          <w14:textFill>
            <w14:solidFill>
              <w14:schemeClr w14:val="tx1"/>
            </w14:solidFill>
          </w14:textFill>
        </w:rPr>
        <w:t>专科毕业生目前所从事的工作与自身职业期待的吻合度为</w:t>
      </w:r>
      <w:r>
        <w:rPr>
          <w:rFonts w:hint="eastAsia" w:ascii="Times New Roman" w:hAnsi="Times New Roman"/>
          <w:color w:val="000000" w:themeColor="text1"/>
          <w14:textFill>
            <w14:solidFill>
              <w14:schemeClr w14:val="tx1"/>
            </w14:solidFill>
          </w14:textFill>
        </w:rPr>
        <w:t>88.58%</w:t>
      </w:r>
      <w:r>
        <w:rPr>
          <w:rFonts w:hint="eastAsia" w:asciiTheme="minorEastAsia" w:hAnsiTheme="minorEastAsia" w:eastAsiaTheme="minorEastAsia"/>
          <w:color w:val="000000" w:themeColor="text1"/>
          <w14:textFill>
            <w14:solidFill>
              <w14:schemeClr w14:val="tx1"/>
            </w14:solidFill>
          </w14:textFill>
        </w:rPr>
        <w:t>，其中“很符合”所占比为</w:t>
      </w:r>
      <w:r>
        <w:rPr>
          <w:rFonts w:hint="eastAsia" w:ascii="Times New Roman" w:hAnsi="Times New Roman"/>
          <w:color w:val="000000" w:themeColor="text1"/>
          <w14:textFill>
            <w14:solidFill>
              <w14:schemeClr w14:val="tx1"/>
            </w14:solidFill>
          </w14:textFill>
        </w:rPr>
        <w:t>18.26%</w:t>
      </w:r>
      <w:r>
        <w:rPr>
          <w:rFonts w:hint="eastAsia" w:ascii="Times New Roman" w:hAnsi="Times New Roman"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“符合”所占比例为</w:t>
      </w:r>
      <w:r>
        <w:rPr>
          <w:rFonts w:hint="eastAsia" w:ascii="Times New Roman" w:hAnsi="Times New Roman"/>
          <w:color w:val="000000" w:themeColor="text1"/>
          <w14:textFill>
            <w14:solidFill>
              <w14:schemeClr w14:val="tx1"/>
            </w14:solidFill>
          </w14:textFill>
        </w:rPr>
        <w:t>24.20%</w:t>
      </w:r>
      <w:r>
        <w:rPr>
          <w:rFonts w:hint="eastAsia" w:asciiTheme="minorEastAsia" w:hAnsiTheme="minorEastAsia" w:eastAsiaTheme="minorEastAsia"/>
          <w:color w:val="000000" w:themeColor="text1"/>
          <w14:textFill>
            <w14:solidFill>
              <w14:schemeClr w14:val="tx1"/>
            </w14:solidFill>
          </w14:textFill>
        </w:rPr>
        <w:t>。</w:t>
      </w:r>
    </w:p>
    <w:p>
      <w:pPr>
        <w:spacing w:before="156" w:beforeLines="50" w:after="120" w:line="360" w:lineRule="auto"/>
        <w:jc w:val="center"/>
        <w:rPr>
          <w:rFonts w:asciiTheme="minorEastAsia" w:hAnsiTheme="minorEastAsia" w:eastAsiaTheme="minorEastAsia"/>
          <w:color w:val="000000" w:themeColor="text1"/>
          <w14:textFill>
            <w14:solidFill>
              <w14:schemeClr w14:val="tx1"/>
            </w14:solidFill>
          </w14:textFill>
        </w:rPr>
      </w:pPr>
      <w:r>
        <w:drawing>
          <wp:inline distT="0" distB="0" distL="0" distR="0">
            <wp:extent cx="4286250" cy="17907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180"/>
        <w:tabs>
          <w:tab w:val="left" w:pos="400"/>
          <w:tab w:val="center" w:pos="4394"/>
        </w:tabs>
      </w:pPr>
      <w:bookmarkStart w:id="252" w:name="_Toc521678870"/>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15</w:t>
      </w:r>
      <w:r>
        <w:fldChar w:fldCharType="end"/>
      </w:r>
      <w:r>
        <w:rPr>
          <w:rFonts w:hint="eastAsia"/>
        </w:rPr>
        <w:t xml:space="preserve">  </w:t>
      </w:r>
      <w:r>
        <w:rPr>
          <w:rFonts w:eastAsia="宋体"/>
        </w:rPr>
        <w:t>2021</w:t>
      </w:r>
      <w:r>
        <w:rPr>
          <w:rFonts w:cstheme="minorBidi"/>
          <w:caps w:val="0"/>
          <w:szCs w:val="24"/>
          <w:lang w:val="en-US"/>
        </w:rPr>
        <w:t>届</w:t>
      </w:r>
      <w:r>
        <w:rPr>
          <w:rFonts w:hint="eastAsia"/>
        </w:rPr>
        <w:t>专科毕业生</w:t>
      </w:r>
      <w:r>
        <w:t>职业期待吻合情况</w:t>
      </w:r>
      <w:bookmarkEnd w:id="252"/>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职业期待吻合度评价维度包括“很符合”、“符合”、“基本符合”、“不符合”、“很不符合”和“无法评价”；其中，吻合度为选择“很符合”、“符合”和“基本符合”的人数占“此题总人数—无法评价人数”的比例。</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spacing w:before="156" w:beforeLines="50" w:after="120" w:line="360" w:lineRule="auto"/>
        <w:ind w:firstLine="480"/>
        <w:jc w:val="both"/>
        <w:rPr>
          <w:rFonts w:asciiTheme="minorEastAsia" w:hAnsiTheme="minorEastAsia" w:eastAsiaTheme="minorEastAsia"/>
          <w:b/>
          <w:bCs/>
          <w:color w:val="0F6FC6" w:themeColor="accent5"/>
          <w14:textFill>
            <w14:solidFill>
              <w14:schemeClr w14:val="accent5"/>
            </w14:solidFill>
          </w14:textFill>
        </w:rPr>
      </w:pPr>
      <w:r>
        <w:rPr>
          <w:rFonts w:ascii="Times New Roman" w:hAnsi="Times New Roman" w:eastAsiaTheme="minorEastAsia"/>
          <w:b/>
          <w:bCs/>
          <w:color w:val="0F6FC6" w:themeColor="accent5"/>
          <w14:textFill>
            <w14:solidFill>
              <w14:schemeClr w14:val="accent5"/>
            </w14:solidFill>
          </w14:textFill>
        </w:rPr>
        <w:t>2.</w:t>
      </w:r>
      <w:r>
        <w:rPr>
          <w:rFonts w:hint="eastAsia" w:asciiTheme="minorEastAsia" w:hAnsiTheme="minorEastAsia" w:eastAsiaTheme="minorEastAsia"/>
          <w:b/>
          <w:bCs/>
          <w:color w:val="0F6FC6" w:themeColor="accent5"/>
          <w14:textFill>
            <w14:solidFill>
              <w14:schemeClr w14:val="accent5"/>
            </w14:solidFill>
          </w14:textFill>
        </w:rPr>
        <w:t>工作稳定性</w:t>
      </w:r>
    </w:p>
    <w:p>
      <w:pPr>
        <w:pStyle w:val="112"/>
        <w:rPr>
          <w:lang w:val="en-US"/>
        </w:rPr>
      </w:pPr>
      <w:r>
        <w:rPr>
          <w:rFonts w:hint="eastAsia"/>
        </w:rPr>
        <w:t>本校</w:t>
      </w:r>
      <w:r>
        <w:rPr>
          <w:rFonts w:hint="eastAsia"/>
          <w:lang w:val="en-US"/>
        </w:rPr>
        <w:t>2021</w:t>
      </w:r>
      <w:r>
        <w:rPr>
          <w:rFonts w:hint="eastAsia"/>
        </w:rPr>
        <w:t>届专科毕业生的离职率为</w:t>
      </w:r>
      <w:r>
        <w:rPr>
          <w:rFonts w:hint="eastAsia"/>
          <w:lang w:val="en-US"/>
        </w:rPr>
        <w:t>17.06%，</w:t>
      </w:r>
      <w:r>
        <w:rPr>
          <w:rFonts w:hint="eastAsia"/>
        </w:rPr>
        <w:t>离职次数集中在</w:t>
      </w:r>
      <w:r>
        <w:rPr>
          <w:rFonts w:hint="eastAsia"/>
          <w:lang w:val="en-US"/>
        </w:rPr>
        <w:t>1次</w:t>
      </w:r>
      <w:r>
        <w:rPr>
          <w:rFonts w:hint="eastAsia"/>
        </w:rPr>
        <w:t>。</w:t>
      </w:r>
    </w:p>
    <w:p>
      <w:pPr>
        <w:pStyle w:val="180"/>
      </w:pPr>
      <w:r>
        <w:rPr>
          <w:color w:val="000000"/>
          <w:sz w:val="24"/>
          <w:szCs w:val="24"/>
          <w:lang w:val="en-US"/>
        </w:rPr>
        <w:drawing>
          <wp:inline distT="0" distB="0" distL="0" distR="0">
            <wp:extent cx="3776345" cy="2422525"/>
            <wp:effectExtent l="0" t="0" r="14605" b="15875"/>
            <wp:docPr id="1402" name="图表 1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180"/>
      </w:pPr>
      <w:r>
        <w:rPr>
          <w:rFonts w:hint="eastAsia"/>
        </w:rPr>
        <w:t xml:space="preserve">图4- </w:t>
      </w:r>
      <w:r>
        <w:fldChar w:fldCharType="begin"/>
      </w:r>
      <w:r>
        <w:instrText xml:space="preserve"> </w:instrText>
      </w:r>
      <w:r>
        <w:rPr>
          <w:rFonts w:hint="eastAsia"/>
        </w:rPr>
        <w:instrText xml:space="preserve">SEQ 图3- \* ARABIC</w:instrText>
      </w:r>
      <w:r>
        <w:instrText xml:space="preserve"> </w:instrText>
      </w:r>
      <w:r>
        <w:fldChar w:fldCharType="separate"/>
      </w:r>
      <w:r>
        <w:t>16</w:t>
      </w:r>
      <w:r>
        <w:fldChar w:fldCharType="end"/>
      </w:r>
      <w:r>
        <w:rPr>
          <w:rFonts w:hint="eastAsia"/>
        </w:rPr>
        <w:t xml:space="preserve">  </w:t>
      </w:r>
      <w:r>
        <w:t>2021届</w:t>
      </w:r>
      <w:r>
        <w:rPr>
          <w:rFonts w:hint="eastAsia"/>
        </w:rPr>
        <w:t>专科毕业生离职情况分布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51"/>
        <w:rPr>
          <w:color w:val="0F6FC6" w:themeColor="accent5"/>
          <w14:textFill>
            <w14:solidFill>
              <w14:schemeClr w14:val="accent5"/>
            </w14:solidFill>
          </w14:textFill>
        </w:rPr>
      </w:pPr>
      <w:bookmarkStart w:id="253" w:name="_Toc92706752"/>
      <w:r>
        <w:rPr>
          <w:rFonts w:hint="eastAsia"/>
          <w:color w:val="0F6FC6" w:themeColor="accent5"/>
          <w14:textFill>
            <w14:solidFill>
              <w14:schemeClr w14:val="accent5"/>
            </w14:solidFill>
          </w14:textFill>
        </w:rPr>
        <w:t>（五）薪酬水平</w:t>
      </w:r>
      <w:r>
        <w:rPr>
          <w:rStyle w:val="41"/>
          <w:color w:val="0F6FC6" w:themeColor="accent5"/>
          <w14:textFill>
            <w14:solidFill>
              <w14:schemeClr w14:val="accent5"/>
            </w14:solidFill>
          </w14:textFill>
        </w:rPr>
        <w:footnoteReference w:id="5"/>
      </w:r>
      <w:bookmarkEnd w:id="253"/>
    </w:p>
    <w:p>
      <w:pPr>
        <w:pStyle w:val="72"/>
        <w:spacing w:before="156" w:after="156"/>
        <w:ind w:firstLine="360" w:firstLineChars="150"/>
        <w:jc w:val="both"/>
        <w:outlineLvl w:val="9"/>
        <w:rPr>
          <w:rFonts w:ascii="Times New Roman" w:hAnsi="Times New Roman" w:eastAsiaTheme="minorEastAsia"/>
          <w:b w:val="0"/>
          <w:color w:val="auto"/>
          <w:sz w:val="24"/>
          <w:szCs w:val="24"/>
          <w:lang w:val="en-US"/>
        </w:rPr>
      </w:pPr>
      <w:r>
        <w:rPr>
          <w:rFonts w:ascii="Times New Roman" w:hAnsi="Times New Roman" w:eastAsia="宋体" w:cstheme="minorBidi"/>
          <w:bCs w:val="0"/>
          <w:color w:val="0F6FC6" w:themeColor="accent5"/>
          <w:sz w:val="24"/>
          <w:szCs w:val="24"/>
          <w:lang w:val="en-US"/>
          <w14:textFill>
            <w14:solidFill>
              <w14:schemeClr w14:val="accent5"/>
            </w14:solidFill>
          </w14:textFill>
        </w:rPr>
        <w:t>薪酬区间：</w:t>
      </w:r>
      <w:r>
        <w:rPr>
          <w:rFonts w:hint="eastAsia" w:ascii="Times New Roman" w:hAnsi="Times New Roman" w:eastAsiaTheme="minorEastAsia"/>
          <w:b w:val="0"/>
          <w:color w:val="auto"/>
          <w:sz w:val="24"/>
          <w:szCs w:val="24"/>
          <w:lang w:val="en-US"/>
        </w:rPr>
        <w:t>学校</w:t>
      </w:r>
      <w:r>
        <w:rPr>
          <w:rFonts w:ascii="Times New Roman" w:hAnsi="Times New Roman" w:eastAsia="宋体"/>
          <w:b w:val="0"/>
          <w:color w:val="auto"/>
          <w:sz w:val="24"/>
          <w:szCs w:val="24"/>
          <w:lang w:val="en-US"/>
        </w:rPr>
        <w:t>2021届</w:t>
      </w:r>
      <w:r>
        <w:rPr>
          <w:rFonts w:hint="eastAsia" w:ascii="Times New Roman" w:hAnsi="Times New Roman" w:eastAsia="宋体"/>
          <w:b w:val="0"/>
          <w:color w:val="auto"/>
          <w:sz w:val="24"/>
          <w:szCs w:val="24"/>
          <w:lang w:val="en-US"/>
        </w:rPr>
        <w:t>专</w:t>
      </w:r>
      <w:r>
        <w:rPr>
          <w:rFonts w:ascii="Times New Roman" w:hAnsi="Times New Roman" w:eastAsiaTheme="minorEastAsia"/>
          <w:b w:val="0"/>
          <w:color w:val="auto"/>
          <w:sz w:val="24"/>
          <w:szCs w:val="24"/>
          <w:lang w:val="en-US"/>
        </w:rPr>
        <w:t>科毕业生月均收入为</w:t>
      </w:r>
      <w:r>
        <w:rPr>
          <w:rFonts w:ascii="Times New Roman" w:hAnsi="Times New Roman" w:eastAsia="宋体"/>
          <w:b w:val="0"/>
          <w:color w:val="auto"/>
          <w:sz w:val="24"/>
          <w:szCs w:val="24"/>
          <w:lang w:val="en-US"/>
        </w:rPr>
        <w:t>3115.03</w:t>
      </w:r>
      <w:r>
        <w:rPr>
          <w:rFonts w:hint="eastAsia" w:ascii="Times New Roman" w:hAnsi="Times New Roman" w:eastAsiaTheme="minorEastAsia"/>
          <w:b w:val="0"/>
          <w:color w:val="auto"/>
          <w:sz w:val="24"/>
          <w:szCs w:val="24"/>
          <w:lang w:val="en-US"/>
        </w:rPr>
        <w:t>元；</w:t>
      </w:r>
      <w:r>
        <w:rPr>
          <w:rFonts w:ascii="Times New Roman" w:hAnsi="Times New Roman" w:eastAsiaTheme="minorEastAsia"/>
          <w:b w:val="0"/>
          <w:color w:val="auto"/>
          <w:sz w:val="24"/>
          <w:szCs w:val="24"/>
          <w:lang w:val="en-US"/>
        </w:rPr>
        <w:t>其中</w:t>
      </w:r>
      <w:r>
        <w:rPr>
          <w:rFonts w:ascii="Times New Roman" w:hAnsi="Times New Roman" w:eastAsia="宋体"/>
          <w:b w:val="0"/>
          <w:color w:val="auto"/>
          <w:sz w:val="24"/>
          <w:szCs w:val="24"/>
          <w:lang w:val="en-US"/>
        </w:rPr>
        <w:t>45.65%</w:t>
      </w:r>
      <w:r>
        <w:rPr>
          <w:rFonts w:ascii="Times New Roman" w:hAnsi="Times New Roman" w:eastAsiaTheme="minorEastAsia"/>
          <w:b w:val="0"/>
          <w:color w:val="auto"/>
          <w:sz w:val="24"/>
          <w:szCs w:val="24"/>
          <w:lang w:val="en-US"/>
        </w:rPr>
        <w:t>的</w:t>
      </w:r>
      <w:r>
        <w:rPr>
          <w:rFonts w:hint="eastAsia" w:ascii="Times New Roman" w:hAnsi="Times New Roman" w:eastAsia="宋体"/>
          <w:b w:val="0"/>
          <w:color w:val="auto"/>
          <w:sz w:val="24"/>
          <w:szCs w:val="24"/>
          <w:lang w:val="en-US"/>
        </w:rPr>
        <w:t>专</w:t>
      </w:r>
      <w:r>
        <w:rPr>
          <w:rFonts w:ascii="Times New Roman" w:hAnsi="Times New Roman" w:eastAsiaTheme="minorEastAsia"/>
          <w:b w:val="0"/>
          <w:color w:val="auto"/>
          <w:sz w:val="24"/>
          <w:szCs w:val="24"/>
          <w:lang w:val="en-US"/>
        </w:rPr>
        <w:t>科毕业生月均收入在</w:t>
      </w:r>
      <w:r>
        <w:rPr>
          <w:rFonts w:ascii="Times New Roman" w:hAnsi="Times New Roman" w:eastAsia="宋体"/>
          <w:b w:val="0"/>
          <w:color w:val="auto"/>
          <w:sz w:val="24"/>
          <w:szCs w:val="24"/>
          <w:lang w:val="en-US"/>
        </w:rPr>
        <w:t>2001-4000</w:t>
      </w:r>
      <w:r>
        <w:rPr>
          <w:rFonts w:hint="eastAsia" w:ascii="Times New Roman" w:hAnsi="Times New Roman" w:eastAsiaTheme="minorEastAsia"/>
          <w:b w:val="0"/>
          <w:color w:val="auto"/>
          <w:sz w:val="24"/>
          <w:szCs w:val="24"/>
          <w:lang w:val="en-US"/>
        </w:rPr>
        <w:t>元区间</w:t>
      </w:r>
      <w:r>
        <w:rPr>
          <w:rFonts w:ascii="Times New Roman" w:hAnsi="Times New Roman" w:eastAsiaTheme="minorEastAsia"/>
          <w:b w:val="0"/>
          <w:color w:val="auto"/>
          <w:sz w:val="24"/>
          <w:szCs w:val="24"/>
          <w:lang w:val="en-US"/>
        </w:rPr>
        <w:t>内</w:t>
      </w:r>
      <w:r>
        <w:rPr>
          <w:rFonts w:hint="eastAsia" w:ascii="Times New Roman" w:hAnsi="Times New Roman" w:eastAsiaTheme="minorEastAsia"/>
          <w:b w:val="0"/>
          <w:color w:val="auto"/>
          <w:sz w:val="24"/>
          <w:szCs w:val="24"/>
          <w:lang w:val="en-US"/>
        </w:rPr>
        <w:t>，</w:t>
      </w:r>
      <w:r>
        <w:rPr>
          <w:rFonts w:ascii="Times New Roman" w:hAnsi="Times New Roman" w:eastAsia="宋体"/>
          <w:b w:val="0"/>
          <w:color w:val="auto"/>
          <w:sz w:val="24"/>
          <w:szCs w:val="24"/>
          <w:lang w:val="en-US"/>
        </w:rPr>
        <w:t>38.26%</w:t>
      </w:r>
      <w:r>
        <w:rPr>
          <w:rFonts w:ascii="Times New Roman" w:hAnsi="Times New Roman" w:eastAsiaTheme="minorEastAsia"/>
          <w:b w:val="0"/>
          <w:color w:val="auto"/>
          <w:sz w:val="24"/>
          <w:szCs w:val="24"/>
          <w:lang w:val="en-US"/>
        </w:rPr>
        <w:t>的</w:t>
      </w:r>
      <w:r>
        <w:rPr>
          <w:rFonts w:hint="eastAsia" w:ascii="Times New Roman" w:hAnsi="Times New Roman" w:eastAsiaTheme="minorEastAsia"/>
          <w:b w:val="0"/>
          <w:color w:val="auto"/>
          <w:sz w:val="24"/>
          <w:szCs w:val="24"/>
          <w:lang w:val="en-US"/>
        </w:rPr>
        <w:t>专科</w:t>
      </w:r>
      <w:r>
        <w:rPr>
          <w:rFonts w:ascii="Times New Roman" w:hAnsi="Times New Roman" w:eastAsiaTheme="minorEastAsia"/>
          <w:b w:val="0"/>
          <w:color w:val="auto"/>
          <w:sz w:val="24"/>
          <w:szCs w:val="24"/>
          <w:lang w:val="en-US"/>
        </w:rPr>
        <w:t>毕业生月均收入在</w:t>
      </w:r>
      <w:r>
        <w:rPr>
          <w:rFonts w:ascii="Times New Roman" w:hAnsi="Times New Roman" w:eastAsia="宋体"/>
          <w:b w:val="0"/>
          <w:color w:val="auto"/>
          <w:sz w:val="24"/>
          <w:szCs w:val="24"/>
          <w:lang w:val="en-US"/>
        </w:rPr>
        <w:t>2000</w:t>
      </w:r>
      <w:r>
        <w:rPr>
          <w:rFonts w:hint="eastAsia" w:ascii="Times New Roman" w:hAnsi="Times New Roman" w:eastAsiaTheme="minorEastAsia"/>
          <w:b w:val="0"/>
          <w:color w:val="auto"/>
          <w:sz w:val="24"/>
          <w:szCs w:val="24"/>
          <w:lang w:val="en-US"/>
        </w:rPr>
        <w:t>元及以下</w:t>
      </w:r>
      <w:r>
        <w:rPr>
          <w:rFonts w:ascii="Times New Roman" w:hAnsi="Times New Roman" w:eastAsiaTheme="minorEastAsia"/>
          <w:b w:val="0"/>
          <w:color w:val="auto"/>
          <w:sz w:val="24"/>
          <w:szCs w:val="24"/>
          <w:lang w:val="en-US"/>
        </w:rPr>
        <w:t>。</w:t>
      </w:r>
    </w:p>
    <w:p>
      <w:pPr>
        <w:pStyle w:val="135"/>
        <w:ind w:firstLine="0" w:firstLineChars="0"/>
        <w:jc w:val="center"/>
      </w:pPr>
      <w:r>
        <w:drawing>
          <wp:inline distT="0" distB="0" distL="0" distR="0">
            <wp:extent cx="5048250" cy="1743075"/>
            <wp:effectExtent l="0" t="0" r="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180"/>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17</w:t>
      </w:r>
      <w:r>
        <w:fldChar w:fldCharType="end"/>
      </w:r>
      <w:r>
        <w:t xml:space="preserve">  2021届</w:t>
      </w:r>
      <w:r>
        <w:rPr>
          <w:rFonts w:hint="eastAsia"/>
        </w:rPr>
        <w:t>专科毕业生薪酬</w:t>
      </w:r>
      <w:r>
        <w:t>区间</w:t>
      </w:r>
      <w:r>
        <w:rPr>
          <w:rFonts w:hint="eastAsia"/>
        </w:rPr>
        <w:t>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18"/>
        <w:ind w:firstLine="360"/>
        <w:rPr>
          <w:color w:val="0F6FC6" w:themeColor="accent5"/>
          <w14:textFill>
            <w14:solidFill>
              <w14:schemeClr w14:val="accent5"/>
            </w14:solidFill>
          </w14:textFill>
        </w:rPr>
      </w:pPr>
      <w:r>
        <w:rPr>
          <w:color w:val="0F6FC6" w:themeColor="accent5"/>
          <w14:textFill>
            <w14:solidFill>
              <w14:schemeClr w14:val="accent5"/>
            </w14:solidFill>
          </w14:textFill>
        </w:rPr>
        <w:br w:type="page"/>
      </w:r>
    </w:p>
    <w:p>
      <w:pPr>
        <w:pStyle w:val="118"/>
        <w:ind w:firstLine="723"/>
        <w:rPr>
          <w:color w:val="0F6FC6" w:themeColor="accent5"/>
          <w14:textFill>
            <w14:solidFill>
              <w14:schemeClr w14:val="accent5"/>
            </w14:solidFill>
          </w14:textFill>
        </w:rPr>
      </w:pPr>
      <w:r>
        <w:rPr>
          <w:b/>
          <w:sz w:val="36"/>
        </w:rPr>
        <w:drawing>
          <wp:anchor distT="0" distB="0" distL="114300" distR="114300" simplePos="0" relativeHeight="251697152" behindDoc="1" locked="0" layoutInCell="1" allowOverlap="1">
            <wp:simplePos x="0" y="0"/>
            <wp:positionH relativeFrom="page">
              <wp:posOffset>17780</wp:posOffset>
            </wp:positionH>
            <wp:positionV relativeFrom="paragraph">
              <wp:posOffset>-882015</wp:posOffset>
            </wp:positionV>
            <wp:extent cx="7545070" cy="10239375"/>
            <wp:effectExtent l="0" t="0" r="0"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5070" cy="10239375"/>
                    </a:xfrm>
                    <a:prstGeom prst="rect">
                      <a:avLst/>
                    </a:prstGeom>
                  </pic:spPr>
                </pic:pic>
              </a:graphicData>
            </a:graphic>
          </wp:anchor>
        </w:drawing>
      </w:r>
    </w:p>
    <w:p>
      <w:pPr>
        <w:rPr>
          <w:rFonts w:ascii="Times New Roman" w:hAnsi="Times New Roman" w:cstheme="minorBidi"/>
          <w:caps/>
          <w:color w:val="000000"/>
        </w:rPr>
      </w:pPr>
    </w:p>
    <w:p>
      <w:pPr>
        <w:pStyle w:val="135"/>
        <w:spacing w:after="120"/>
        <w:ind w:firstLine="480"/>
        <w:rPr>
          <w:caps/>
        </w:rPr>
      </w:pPr>
    </w:p>
    <w:p>
      <w:pPr>
        <w:pStyle w:val="118"/>
        <w:ind w:firstLine="360"/>
        <w:jc w:val="both"/>
        <w:rPr>
          <w:color w:val="0F6FC6" w:themeColor="accent5"/>
          <w14:textFill>
            <w14:solidFill>
              <w14:schemeClr w14:val="accent5"/>
            </w14:solidFill>
          </w14:textFill>
        </w:rPr>
      </w:pPr>
    </w:p>
    <w:p>
      <w:pPr>
        <w:pStyle w:val="118"/>
        <w:ind w:firstLine="723"/>
        <w:jc w:val="both"/>
        <w:rPr>
          <w:color w:val="0F6FC6" w:themeColor="accent5"/>
          <w14:textFill>
            <w14:solidFill>
              <w14:schemeClr w14:val="accent5"/>
            </w14:solidFill>
          </w14:textFill>
        </w:rPr>
      </w:pPr>
      <w:r>
        <w:rPr>
          <w:rFonts w:eastAsia="黑体"/>
          <w:b/>
          <w:sz w:val="36"/>
          <w:szCs w:val="36"/>
          <w:lang w:val="en-US"/>
        </w:rPr>
        <mc:AlternateContent>
          <mc:Choice Requires="wps">
            <w:drawing>
              <wp:anchor distT="0" distB="0" distL="114300" distR="114300" simplePos="0" relativeHeight="251696128" behindDoc="0" locked="0" layoutInCell="1" allowOverlap="1">
                <wp:simplePos x="0" y="0"/>
                <wp:positionH relativeFrom="page">
                  <wp:posOffset>22860</wp:posOffset>
                </wp:positionH>
                <wp:positionV relativeFrom="paragraph">
                  <wp:posOffset>601345</wp:posOffset>
                </wp:positionV>
                <wp:extent cx="7560310" cy="2343150"/>
                <wp:effectExtent l="3810" t="127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7560310" cy="2343150"/>
                        </a:xfrm>
                        <a:prstGeom prst="rect">
                          <a:avLst/>
                        </a:prstGeom>
                        <a:noFill/>
                        <a:ln>
                          <a:noFill/>
                        </a:ln>
                      </wps:spPr>
                      <wps:txb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第五篇</w:t>
                            </w:r>
                          </w:p>
                          <w:p>
                            <w:pPr>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毕业生对学校的评价</w:t>
                            </w:r>
                          </w:p>
                          <w:p>
                            <w:pPr>
                              <w:jc w:val="center"/>
                              <w:rPr>
                                <w:rFonts w:ascii="微软雅黑" w:hAnsi="微软雅黑" w:eastAsia="微软雅黑"/>
                                <w:b/>
                                <w:color w:val="4C659B"/>
                                <w:sz w:val="44"/>
                                <w:szCs w:val="36"/>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47.35pt;height:184.5pt;width:595.3pt;mso-position-horizontal-relative:page;z-index:251696128;mso-width-relative:page;mso-height-relative:page;" filled="f" stroked="f" coordsize="21600,21600" o:gfxdata="UEsDBAoAAAAAAIdO4kAAAAAAAAAAAAAAAAAEAAAAZHJzL1BLAwQUAAAACACHTuJAwARXsdcAAAAJ&#10;AQAADwAAAGRycy9kb3ducmV2LnhtbE2PwU7DMBBE70j8g7VI3KidNqQkZNMDiCuIApV6c+NtEhGv&#10;o9htwt/jnuA4mtHMm3Iz216cafSdY4RkoUAQ18503CB8frzcPYDwQbPRvWNC+CEPm+r6qtSFcRO/&#10;03kbGhFL2BcaoQ1hKKT0dUtW+4UbiKN3dKPVIcqxkWbUUyy3vVwqlUmrO44LrR7oqaX6e3uyCF+v&#10;x/0uVW/Ns70fJjcryTaXiLc3iXoEEWgOf2G44Ed0qCLTwZ3YeNEjrLIYRMjTNYiLneTpEsQBIc1W&#10;a5BVKf8/qH4BUEsDBBQAAAAIAIdO4kBwqJv4GQIAABgEAAAOAAAAZHJzL2Uyb0RvYy54bWytU82O&#10;0zAQviPxDpbvNE1/diFqulq2WoS0/EgLD+A6TmMRe8zYbbI8ALwBJy7cea4+B2OnW8py2QOXyJ4Z&#10;f/N930wWF71p2U6h12BLno/GnCkrodJ2U/KPH66fPefMB2Er0YJVJb9Tnl8snz5ZdK5QE2igrRQy&#10;ArG+6FzJmxBckWVeNsoIPwKnLCVrQCMCXXGTVSg6QjdtNhmPz7IOsHIIUnlP0dWQ5AdEfAwg1LWW&#10;agVya5QNAyqqVgSS5BvtPF8mtnWtZHhX114F1paclIb0pSZ0XsdvtlyIYoPCNVoeKIjHUHigyQht&#10;qekRaiWCYFvU/0AZLRE81GEkwWSDkOQIqcjHD7y5bYRTSQtZ7d3RdP//YOXb3Xtkuir5lOZuhaGJ&#10;779/2//4tf/5lVGMDOqcL6ju1lFl6F9CT2uTxHp3A/KTZxauGmE36hIRukaJigjm8WV28nTA8RFk&#10;3b2BihqJbYAE1NdoonvkByN0Gs7dcTiqD0xS8Hx+Np7mlJKUm0xn03yexpeJ4v65Qx9eKTAsHkqO&#10;NP0EL3Y3PkQ6orgvid0sXOu2TRvQ2r8CVBgjiX5kPHAP/bo/2LGG6o6EIAwLRb8THRrAL5x1tEwl&#10;95+3AhVn7WtLZrzIZ7O4fekym59P6IKnmfVpRlhJUCUPnA3HqzBs7Nah3jTUabDfwiUZWOskLTo9&#10;sDrwpoVJig/LHTfy9J6q/vz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BFex1wAAAAkBAAAP&#10;AAAAAAAAAAEAIAAAACIAAABkcnMvZG93bnJldi54bWxQSwECFAAUAAAACACHTuJAcKib+BkCAAAY&#10;BAAADgAAAAAAAAABACAAAAAmAQAAZHJzL2Uyb0RvYy54bWxQSwUGAAAAAAYABgBZAQAAsQUAAAAA&#10;">
                <v:fill on="f" focussize="0,0"/>
                <v:stroke on="f"/>
                <v:imagedata o:title=""/>
                <o:lock v:ext="edit" aspectratio="f"/>
                <v:textbo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第五篇</w:t>
                      </w:r>
                    </w:p>
                    <w:p>
                      <w:pPr>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毕业生对学校的评价</w:t>
                      </w:r>
                    </w:p>
                    <w:p>
                      <w:pPr>
                        <w:jc w:val="center"/>
                        <w:rPr>
                          <w:rFonts w:ascii="微软雅黑" w:hAnsi="微软雅黑" w:eastAsia="微软雅黑"/>
                          <w:b/>
                          <w:color w:val="4C659B"/>
                          <w:sz w:val="44"/>
                          <w:szCs w:val="36"/>
                        </w:rPr>
                      </w:pPr>
                    </w:p>
                  </w:txbxContent>
                </v:textbox>
              </v:shape>
            </w:pict>
          </mc:Fallback>
        </mc:AlternateContent>
      </w:r>
    </w:p>
    <w:p>
      <w:pPr>
        <w:pageBreakBefore/>
        <w:shd w:val="clear" w:color="auto" w:fill="0F6FC6"/>
        <w:spacing w:before="156" w:beforeLines="50" w:after="156" w:afterLines="50" w:line="400" w:lineRule="atLeast"/>
        <w:jc w:val="center"/>
        <w:outlineLvl w:val="0"/>
        <w:rPr>
          <w:rFonts w:ascii="Calibri" w:hAnsi="Calibri" w:eastAsia="黑体"/>
          <w:b/>
          <w:caps/>
          <w:color w:val="FFFFFF"/>
          <w:sz w:val="32"/>
          <w:szCs w:val="32"/>
        </w:rPr>
      </w:pPr>
      <w:bookmarkStart w:id="254" w:name="_Toc92706753"/>
      <w:r>
        <w:rPr>
          <w:rFonts w:hint="eastAsia" w:ascii="Calibri" w:hAnsi="Calibri" w:eastAsia="黑体"/>
          <w:b/>
          <w:caps/>
          <w:color w:val="FFFFFF"/>
          <w:sz w:val="32"/>
          <w:szCs w:val="32"/>
        </w:rPr>
        <w:t>第五篇</w:t>
      </w:r>
      <w:r>
        <w:rPr>
          <w:rFonts w:ascii="Calibri" w:hAnsi="Calibri" w:eastAsia="黑体"/>
          <w:b/>
          <w:caps/>
          <w:color w:val="FFFFFF"/>
          <w:sz w:val="32"/>
          <w:szCs w:val="32"/>
        </w:rPr>
        <w:t>：就业发展趋势分析</w:t>
      </w:r>
      <w:bookmarkEnd w:id="157"/>
      <w:bookmarkEnd w:id="158"/>
      <w:bookmarkEnd w:id="159"/>
      <w:bookmarkEnd w:id="254"/>
    </w:p>
    <w:p>
      <w:pPr>
        <w:pStyle w:val="220"/>
        <w:ind w:firstLine="480"/>
      </w:pPr>
      <w:r>
        <w:rPr>
          <w:rFonts w:hint="eastAsia"/>
        </w:rPr>
        <w:t>为进一步完善毕业生就业指导服务工作，促进毕业生更高质量和更加充分就业，学校对近三年毕业生的就业状况包括毕业生规模、毕业去向落实率、就业地区、行业、单位等各项指标进行了总体比对分析。</w:t>
      </w:r>
    </w:p>
    <w:p>
      <w:pPr>
        <w:pStyle w:val="141"/>
        <w:spacing w:after="0" w:afterLines="0"/>
        <w:rPr>
          <w:color w:val="0F6FC6" w:themeColor="accent5"/>
          <w14:textFill>
            <w14:solidFill>
              <w14:schemeClr w14:val="accent5"/>
            </w14:solidFill>
          </w14:textFill>
        </w:rPr>
      </w:pPr>
      <w:bookmarkStart w:id="255" w:name="_Toc92706754"/>
      <w:bookmarkStart w:id="256" w:name="_Toc81325069"/>
      <w:r>
        <w:rPr>
          <w:rFonts w:hint="eastAsia"/>
          <w:color w:val="0F6FC6" w:themeColor="accent5"/>
          <w14:textFill>
            <w14:solidFill>
              <w14:schemeClr w14:val="accent5"/>
            </w14:solidFill>
          </w14:textFill>
        </w:rPr>
        <w:t>一、近三年规模与</w:t>
      </w:r>
      <w:r>
        <w:rPr>
          <w:color w:val="0F6FC6" w:themeColor="accent5"/>
          <w14:textFill>
            <w14:solidFill>
              <w14:schemeClr w14:val="accent5"/>
            </w14:solidFill>
          </w14:textFill>
        </w:rPr>
        <w:t>毕业去向落实率变化趋势</w:t>
      </w:r>
      <w:bookmarkEnd w:id="255"/>
      <w:bookmarkEnd w:id="256"/>
    </w:p>
    <w:p>
      <w:pPr>
        <w:pStyle w:val="135"/>
        <w:ind w:firstLine="480"/>
        <w:rPr>
          <w:rFonts w:eastAsiaTheme="minorEastAsia"/>
          <w:color w:val="auto"/>
        </w:rPr>
      </w:pPr>
      <w:r>
        <w:rPr>
          <w:rFonts w:hint="eastAsia"/>
          <w:caps/>
        </w:rPr>
        <w:t>学校历来重视毕业生的就业工作，将实现毕业生的充分就业和高质量就业作为工作重心。如下图</w:t>
      </w:r>
      <w:r>
        <w:rPr>
          <w:rFonts w:hint="eastAsia"/>
        </w:rPr>
        <w:t>所示</w:t>
      </w:r>
      <w:r>
        <w:rPr>
          <w:rFonts w:eastAsiaTheme="minorEastAsia"/>
          <w:color w:val="auto"/>
        </w:rPr>
        <w:t>，</w:t>
      </w:r>
      <w:r>
        <w:rPr>
          <w:rFonts w:hint="eastAsia"/>
        </w:rPr>
        <w:t>近三届</w:t>
      </w:r>
      <w:r>
        <w:t>毕业生规模</w:t>
      </w:r>
      <w:r>
        <w:rPr>
          <w:rFonts w:hint="eastAsia"/>
        </w:rPr>
        <w:t>持续</w:t>
      </w:r>
      <w:r>
        <w:t>增</w:t>
      </w:r>
      <w:r>
        <w:rPr>
          <w:rFonts w:hint="eastAsia"/>
        </w:rPr>
        <w:t>长，毕业去向落实率</w:t>
      </w:r>
      <w:r>
        <w:t>始终保持在86.28</w:t>
      </w:r>
      <w:r>
        <w:rPr>
          <w:rFonts w:hint="eastAsia"/>
        </w:rPr>
        <w:t>%及以上，就业状况</w:t>
      </w:r>
      <w:r>
        <w:t>良好</w:t>
      </w:r>
      <w:r>
        <w:rPr>
          <w:rFonts w:eastAsiaTheme="minorEastAsia"/>
          <w:color w:val="auto"/>
        </w:rPr>
        <w:t>。</w:t>
      </w:r>
    </w:p>
    <w:p>
      <w:pPr>
        <w:pStyle w:val="135"/>
        <w:spacing w:after="120"/>
        <w:ind w:firstLine="0" w:firstLineChars="0"/>
        <w:jc w:val="center"/>
        <w:rPr>
          <w:rFonts w:eastAsiaTheme="minorEastAsia"/>
          <w:color w:val="auto"/>
        </w:rPr>
      </w:pPr>
      <w:r>
        <w:drawing>
          <wp:inline distT="0" distB="0" distL="0" distR="0">
            <wp:extent cx="4943475" cy="204787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180"/>
      </w:pPr>
      <w:bookmarkStart w:id="257" w:name="_Toc521678885"/>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1</w:t>
      </w:r>
      <w:r>
        <w:fldChar w:fldCharType="end"/>
      </w:r>
      <w:r>
        <w:t xml:space="preserve">  </w:t>
      </w:r>
      <w:r>
        <w:rPr>
          <w:rFonts w:hint="eastAsia" w:eastAsia="宋体"/>
        </w:rPr>
        <w:t>201</w:t>
      </w:r>
      <w:r>
        <w:rPr>
          <w:rFonts w:eastAsia="宋体"/>
        </w:rPr>
        <w:t>9</w:t>
      </w:r>
      <w:r>
        <w:rPr>
          <w:rFonts w:hint="eastAsia"/>
        </w:rPr>
        <w:t>-</w:t>
      </w:r>
      <w:r>
        <w:rPr>
          <w:rFonts w:hint="eastAsia" w:eastAsia="宋体"/>
        </w:rPr>
        <w:t>2021</w:t>
      </w:r>
      <w:r>
        <w:rPr>
          <w:rFonts w:hint="eastAsia"/>
        </w:rPr>
        <w:t>届毕业生规模</w:t>
      </w:r>
      <w:bookmarkEnd w:id="257"/>
      <w:r>
        <w:t>分布</w:t>
      </w:r>
      <w:r>
        <w:rPr>
          <w:rFonts w:hint="eastAsia"/>
        </w:rPr>
        <w:t>（单位:人）</w:t>
      </w:r>
    </w:p>
    <w:p>
      <w:pPr>
        <w:pStyle w:val="118"/>
        <w:ind w:firstLine="360"/>
        <w:rPr>
          <w:color w:val="0F6FC6" w:themeColor="accent1"/>
          <w14:textFill>
            <w14:solidFill>
              <w14:schemeClr w14:val="accent1"/>
            </w14:solidFill>
          </w14:textFill>
        </w:rPr>
      </w:pPr>
      <w:r>
        <w:rPr>
          <w:rFonts w:hint="eastAsia"/>
          <w:color w:val="0F6FC6" w:themeColor="accent5"/>
          <w14:textFill>
            <w14:solidFill>
              <w14:schemeClr w14:val="accent5"/>
            </w14:solidFill>
          </w14:textFill>
        </w:rPr>
        <w:t>数据来源：</w:t>
      </w:r>
      <w:r>
        <w:rPr>
          <w:rFonts w:hint="eastAsia"/>
          <w:color w:val="0F6FC6" w:themeColor="accent1"/>
          <w14:textFill>
            <w14:solidFill>
              <w14:schemeClr w14:val="accent1"/>
            </w14:solidFill>
          </w14:textFill>
        </w:rPr>
        <w:t>1.201</w:t>
      </w:r>
      <w:r>
        <w:rPr>
          <w:color w:val="0F6FC6" w:themeColor="accent1"/>
          <w14:textFill>
            <w14:solidFill>
              <w14:schemeClr w14:val="accent1"/>
            </w14:solidFill>
          </w14:textFill>
        </w:rPr>
        <w:t>9</w:t>
      </w:r>
      <w:r>
        <w:rPr>
          <w:rFonts w:hint="eastAsia"/>
          <w:color w:val="0F6FC6" w:themeColor="accent1"/>
          <w14:textFill>
            <w14:solidFill>
              <w14:schemeClr w14:val="accent1"/>
            </w14:solidFill>
          </w14:textFill>
        </w:rPr>
        <w:t>和</w:t>
      </w:r>
      <w:r>
        <w:rPr>
          <w:color w:val="0F6FC6" w:themeColor="accent1"/>
          <w14:textFill>
            <w14:solidFill>
              <w14:schemeClr w14:val="accent1"/>
            </w14:solidFill>
          </w14:textFill>
        </w:rPr>
        <w:t>2020</w:t>
      </w:r>
      <w:r>
        <w:rPr>
          <w:rFonts w:hint="eastAsia"/>
          <w:color w:val="0F6FC6" w:themeColor="accent1"/>
          <w14:textFill>
            <w14:solidFill>
              <w14:schemeClr w14:val="accent1"/>
            </w14:solidFill>
          </w14:textFill>
        </w:rPr>
        <w:t>届</w:t>
      </w:r>
      <w:r>
        <w:rPr>
          <w:color w:val="0F6FC6" w:themeColor="accent1"/>
          <w14:textFill>
            <w14:solidFill>
              <w14:schemeClr w14:val="accent1"/>
            </w14:solidFill>
          </w14:textFill>
        </w:rPr>
        <w:t>数据来自《</w:t>
      </w:r>
      <w:r>
        <w:rPr>
          <w:rFonts w:hint="eastAsia"/>
          <w:color w:val="0F6FC6" w:themeColor="accent1"/>
          <w14:textFill>
            <w14:solidFill>
              <w14:schemeClr w14:val="accent1"/>
            </w14:solidFill>
          </w14:textFill>
        </w:rPr>
        <w:t>荆楚理工学院20</w:t>
      </w:r>
      <w:r>
        <w:rPr>
          <w:color w:val="0F6FC6" w:themeColor="accent1"/>
          <w14:textFill>
            <w14:solidFill>
              <w14:schemeClr w14:val="accent1"/>
            </w14:solidFill>
          </w14:textFill>
        </w:rPr>
        <w:t>20</w:t>
      </w:r>
      <w:r>
        <w:rPr>
          <w:rFonts w:hint="eastAsia"/>
          <w:color w:val="0F6FC6" w:themeColor="accent1"/>
          <w14:textFill>
            <w14:solidFill>
              <w14:schemeClr w14:val="accent1"/>
            </w14:solidFill>
          </w14:textFill>
        </w:rPr>
        <w:t>届</w:t>
      </w:r>
      <w:r>
        <w:rPr>
          <w:color w:val="0F6FC6" w:themeColor="accent1"/>
          <w14:textFill>
            <w14:solidFill>
              <w14:schemeClr w14:val="accent1"/>
            </w14:solidFill>
          </w14:textFill>
        </w:rPr>
        <w:t>毕业生就业质量年度报告》</w:t>
      </w:r>
      <w:r>
        <w:rPr>
          <w:rFonts w:hint="eastAsia"/>
          <w:color w:val="0F6FC6" w:themeColor="accent1"/>
          <w14:textFill>
            <w14:solidFill>
              <w14:schemeClr w14:val="accent1"/>
            </w14:solidFill>
          </w14:textFill>
        </w:rPr>
        <w:t>；</w:t>
      </w:r>
    </w:p>
    <w:p>
      <w:pPr>
        <w:pStyle w:val="131"/>
        <w:spacing w:after="156"/>
        <w:ind w:firstLine="360"/>
        <w:rPr>
          <w:color w:val="0F6FC6" w:themeColor="accent1"/>
          <w14:textFill>
            <w14:solidFill>
              <w14:schemeClr w14:val="accent1"/>
            </w14:solidFill>
          </w14:textFill>
        </w:rPr>
      </w:pPr>
      <w:r>
        <w:rPr>
          <w:rFonts w:cs="宋体"/>
          <w:szCs w:val="21"/>
        </w:rPr>
        <w:drawing>
          <wp:anchor distT="0" distB="0" distL="114300" distR="114300" simplePos="0" relativeHeight="251695104" behindDoc="0" locked="0" layoutInCell="1" allowOverlap="1">
            <wp:simplePos x="0" y="0"/>
            <wp:positionH relativeFrom="margin">
              <wp:posOffset>-22860</wp:posOffset>
            </wp:positionH>
            <wp:positionV relativeFrom="paragraph">
              <wp:posOffset>295275</wp:posOffset>
            </wp:positionV>
            <wp:extent cx="5324475" cy="1743075"/>
            <wp:effectExtent l="0" t="0" r="0" b="0"/>
            <wp:wrapNone/>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rFonts w:hint="eastAsia"/>
        </w:rPr>
        <w:t xml:space="preserve">   </w:t>
      </w:r>
      <w:r>
        <w:t xml:space="preserve">      </w:t>
      </w:r>
      <w:r>
        <w:rPr>
          <w:rFonts w:hint="eastAsia"/>
          <w:color w:val="0F6FC6" w:themeColor="accent1"/>
          <w14:textFill>
            <w14:solidFill>
              <w14:schemeClr w14:val="accent1"/>
            </w14:solidFill>
          </w14:textFill>
        </w:rPr>
        <w:t xml:space="preserve"> 2.</w:t>
      </w:r>
      <w:r>
        <w:rPr>
          <w:color w:val="0F6FC6" w:themeColor="accent1"/>
          <w14:textFill>
            <w14:solidFill>
              <w14:schemeClr w14:val="accent1"/>
            </w14:solidFill>
          </w14:textFill>
        </w:rPr>
        <w:t>2021届数据来自</w:t>
      </w:r>
      <w:r>
        <w:rPr>
          <w:rFonts w:hint="eastAsia"/>
          <w:color w:val="0F6FC6" w:themeColor="accent1"/>
          <w14:textFill>
            <w14:solidFill>
              <w14:schemeClr w14:val="accent1"/>
            </w14:solidFill>
          </w14:textFill>
        </w:rPr>
        <w:t>湖北省高校毕业生就业办公系统。</w:t>
      </w:r>
    </w:p>
    <w:p>
      <w:pPr>
        <w:pStyle w:val="135"/>
        <w:spacing w:after="120"/>
        <w:ind w:firstLine="199" w:firstLineChars="83"/>
        <w:rPr>
          <w:rFonts w:eastAsiaTheme="minorEastAsia"/>
          <w:color w:val="auto"/>
        </w:rPr>
      </w:pPr>
    </w:p>
    <w:p>
      <w:pPr>
        <w:pStyle w:val="135"/>
        <w:spacing w:after="120"/>
        <w:ind w:firstLine="199" w:firstLineChars="83"/>
        <w:rPr>
          <w:rFonts w:eastAsiaTheme="minorEastAsia"/>
          <w:color w:val="auto"/>
        </w:rPr>
      </w:pPr>
    </w:p>
    <w:p>
      <w:pPr>
        <w:pStyle w:val="135"/>
        <w:spacing w:after="120"/>
        <w:ind w:firstLine="199" w:firstLineChars="83"/>
        <w:rPr>
          <w:rFonts w:eastAsiaTheme="minorEastAsia"/>
          <w:color w:val="auto"/>
        </w:rPr>
      </w:pPr>
    </w:p>
    <w:p>
      <w:pPr>
        <w:pStyle w:val="135"/>
        <w:spacing w:after="120"/>
        <w:ind w:firstLine="199" w:firstLineChars="83"/>
        <w:rPr>
          <w:rFonts w:eastAsiaTheme="minorEastAsia"/>
          <w:color w:val="auto"/>
        </w:rPr>
      </w:pPr>
    </w:p>
    <w:p>
      <w:pPr>
        <w:pStyle w:val="180"/>
        <w:tabs>
          <w:tab w:val="left" w:pos="400"/>
          <w:tab w:val="center" w:pos="4394"/>
        </w:tabs>
      </w:pPr>
    </w:p>
    <w:p>
      <w:pPr>
        <w:pStyle w:val="180"/>
        <w:tabs>
          <w:tab w:val="left" w:pos="400"/>
          <w:tab w:val="center" w:pos="4394"/>
        </w:tabs>
      </w:pPr>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2</w:t>
      </w:r>
      <w:r>
        <w:fldChar w:fldCharType="end"/>
      </w:r>
      <w:r>
        <w:t xml:space="preserve">  </w:t>
      </w:r>
      <w:r>
        <w:rPr>
          <w:rFonts w:hint="eastAsia" w:eastAsia="宋体"/>
        </w:rPr>
        <w:t>201</w:t>
      </w:r>
      <w:r>
        <w:rPr>
          <w:rFonts w:eastAsia="宋体"/>
        </w:rPr>
        <w:t>9</w:t>
      </w:r>
      <w:r>
        <w:rPr>
          <w:rFonts w:hint="eastAsia"/>
        </w:rPr>
        <w:t>-</w:t>
      </w:r>
      <w:r>
        <w:rPr>
          <w:rFonts w:hint="eastAsia" w:eastAsia="宋体"/>
        </w:rPr>
        <w:t>2021</w:t>
      </w:r>
      <w:r>
        <w:rPr>
          <w:rFonts w:hint="eastAsia"/>
        </w:rPr>
        <w:t>届毕业生毕业去向落实率分布</w:t>
      </w:r>
    </w:p>
    <w:p>
      <w:pPr>
        <w:pStyle w:val="118"/>
        <w:ind w:firstLine="360"/>
        <w:rPr>
          <w:color w:val="0F6FC6" w:themeColor="accent5"/>
          <w14:textFill>
            <w14:solidFill>
              <w14:schemeClr w14:val="accent5"/>
            </w14:solidFill>
          </w14:textFill>
        </w:rPr>
      </w:pPr>
      <w:bookmarkStart w:id="258" w:name="_Toc487790107"/>
      <w:bookmarkStart w:id="259" w:name="_Toc487789926"/>
      <w:bookmarkStart w:id="260" w:name="_Toc496017594"/>
      <w:bookmarkStart w:id="261" w:name="_Toc17272005"/>
      <w:r>
        <w:rPr>
          <w:rFonts w:hint="eastAsia"/>
          <w:color w:val="0F6FC6" w:themeColor="accent5"/>
          <w14:textFill>
            <w14:solidFill>
              <w14:schemeClr w14:val="accent5"/>
            </w14:solidFill>
          </w14:textFill>
        </w:rPr>
        <w:t>数据来源：1.2019和2020届数据来自《荆楚理工学院2020届毕业生就业质量年度报告》；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2.2021届数据来自湖北省高校毕业生就业办公系统。</w:t>
      </w:r>
    </w:p>
    <w:p>
      <w:pPr>
        <w:pStyle w:val="141"/>
        <w:spacing w:after="0" w:afterLines="0"/>
        <w:rPr>
          <w:color w:val="FF0000"/>
        </w:rPr>
      </w:pPr>
      <w:bookmarkStart w:id="262" w:name="_Toc92706755"/>
      <w:bookmarkStart w:id="263" w:name="_Toc81325070"/>
      <w:r>
        <w:rPr>
          <w:rFonts w:hint="eastAsia"/>
          <w:color w:val="0F6FC6" w:themeColor="accent5"/>
          <w14:textFill>
            <w14:solidFill>
              <w14:schemeClr w14:val="accent5"/>
            </w14:solidFill>
          </w14:textFill>
        </w:rPr>
        <w:t>二</w:t>
      </w:r>
      <w:r>
        <w:rPr>
          <w:color w:val="0F6FC6" w:themeColor="accent5"/>
          <w14:textFill>
            <w14:solidFill>
              <w14:schemeClr w14:val="accent5"/>
            </w14:solidFill>
          </w14:textFill>
        </w:rPr>
        <w:t>、</w:t>
      </w:r>
      <w:bookmarkEnd w:id="258"/>
      <w:bookmarkEnd w:id="259"/>
      <w:bookmarkEnd w:id="260"/>
      <w:r>
        <w:rPr>
          <w:rFonts w:hint="eastAsia"/>
          <w:color w:val="0F6FC6" w:themeColor="accent5"/>
          <w14:textFill>
            <w14:solidFill>
              <w14:schemeClr w14:val="accent5"/>
            </w14:solidFill>
          </w14:textFill>
        </w:rPr>
        <w:t>近三年</w:t>
      </w:r>
      <w:r>
        <w:rPr>
          <w:color w:val="0070C0"/>
        </w:rPr>
        <w:t>就业地区</w:t>
      </w:r>
      <w:r>
        <w:rPr>
          <w:color w:val="0F6FC6" w:themeColor="accent5"/>
          <w14:textFill>
            <w14:solidFill>
              <w14:schemeClr w14:val="accent5"/>
            </w14:solidFill>
          </w14:textFill>
        </w:rPr>
        <w:t>变化趋势</w:t>
      </w:r>
      <w:bookmarkEnd w:id="261"/>
      <w:bookmarkEnd w:id="262"/>
      <w:bookmarkEnd w:id="263"/>
    </w:p>
    <w:p>
      <w:pPr>
        <w:pStyle w:val="178"/>
        <w:spacing w:before="0" w:beforeLines="0"/>
        <w:ind w:firstLine="480"/>
        <w:rPr>
          <w:rFonts w:ascii="宋体" w:hAnsi="宋体"/>
        </w:rPr>
      </w:pPr>
      <w:r>
        <w:rPr>
          <w:rFonts w:hint="eastAsia" w:ascii="宋体" w:hAnsi="宋体"/>
        </w:rPr>
        <w:t>如</w:t>
      </w:r>
      <w:r>
        <w:rPr>
          <w:rFonts w:ascii="宋体" w:hAnsi="宋体"/>
        </w:rPr>
        <w:t>下图所示</w:t>
      </w:r>
      <w:r>
        <w:rPr>
          <w:rFonts w:hint="eastAsia" w:ascii="宋体" w:hAnsi="宋体"/>
        </w:rPr>
        <w:t>，</w:t>
      </w:r>
      <w:r>
        <w:rPr>
          <w:rFonts w:ascii="宋体" w:hAnsi="宋体"/>
        </w:rPr>
        <w:t>学校</w:t>
      </w:r>
      <w:r>
        <w:rPr>
          <w:rFonts w:hint="eastAsia" w:ascii="宋体" w:hAnsi="宋体"/>
        </w:rPr>
        <w:t>近三届</w:t>
      </w:r>
      <w:r>
        <w:rPr>
          <w:rFonts w:ascii="宋体" w:hAnsi="宋体"/>
        </w:rPr>
        <w:t>毕业生在</w:t>
      </w:r>
      <w:r>
        <w:rPr>
          <w:rFonts w:hint="eastAsia" w:ascii="宋体" w:hAnsi="宋体"/>
        </w:rPr>
        <w:t>湖北</w:t>
      </w:r>
      <w:r>
        <w:rPr>
          <w:rFonts w:hint="eastAsia" w:ascii="宋体" w:hAnsi="宋体"/>
          <w:color w:val="000000" w:themeColor="text1"/>
          <w14:textFill>
            <w14:solidFill>
              <w14:schemeClr w14:val="tx1"/>
            </w14:solidFill>
          </w14:textFill>
        </w:rPr>
        <w:t>省内</w:t>
      </w:r>
      <w:r>
        <w:rPr>
          <w:rFonts w:ascii="宋体" w:hAnsi="宋体"/>
          <w:color w:val="000000" w:themeColor="text1"/>
          <w14:textFill>
            <w14:solidFill>
              <w14:schemeClr w14:val="tx1"/>
            </w14:solidFill>
          </w14:textFill>
        </w:rPr>
        <w:t>就业</w:t>
      </w:r>
      <w:r>
        <w:rPr>
          <w:rFonts w:hint="eastAsia" w:ascii="宋体" w:hAnsi="宋体"/>
          <w:color w:val="000000" w:themeColor="text1"/>
          <w14:textFill>
            <w14:solidFill>
              <w14:schemeClr w14:val="tx1"/>
            </w14:solidFill>
          </w14:textFill>
        </w:rPr>
        <w:t>人数占比</w:t>
      </w:r>
      <w:r>
        <w:rPr>
          <w:rFonts w:hint="eastAsia" w:cs="宋体"/>
          <w:color w:val="000000" w:themeColor="text1"/>
          <w:szCs w:val="21"/>
          <w14:textFill>
            <w14:solidFill>
              <w14:schemeClr w14:val="tx1"/>
            </w14:solidFill>
          </w14:textFill>
        </w:rPr>
        <w:t>均</w:t>
      </w:r>
      <w:r>
        <w:rPr>
          <w:rFonts w:hint="eastAsia" w:ascii="宋体" w:hAnsi="宋体"/>
        </w:rPr>
        <w:t>在</w:t>
      </w:r>
      <w:r>
        <w:t>52.33%及</w:t>
      </w:r>
      <w:r>
        <w:rPr>
          <w:rFonts w:ascii="宋体" w:hAnsi="宋体"/>
        </w:rPr>
        <w:t>以上</w:t>
      </w:r>
      <w:r>
        <w:rPr>
          <w:rFonts w:hint="eastAsia" w:ascii="宋体" w:hAnsi="宋体"/>
        </w:rPr>
        <w:t>；这一流向基本与学校</w:t>
      </w:r>
      <w:r>
        <w:rPr>
          <w:rFonts w:ascii="宋体" w:hAnsi="宋体"/>
        </w:rPr>
        <w:t>的</w:t>
      </w:r>
      <w:r>
        <w:rPr>
          <w:rFonts w:hint="eastAsia" w:ascii="宋体" w:hAnsi="宋体"/>
        </w:rPr>
        <w:t>定位相契合</w:t>
      </w:r>
      <w:r>
        <w:rPr>
          <w:rFonts w:ascii="宋体" w:hAnsi="宋体"/>
        </w:rPr>
        <w:t>，</w:t>
      </w:r>
      <w:r>
        <w:rPr>
          <w:rFonts w:hint="eastAsia" w:ascii="宋体" w:hAnsi="宋体"/>
        </w:rPr>
        <w:t>为本地区</w:t>
      </w:r>
      <w:r>
        <w:rPr>
          <w:rFonts w:ascii="宋体" w:hAnsi="宋体"/>
        </w:rPr>
        <w:t>的</w:t>
      </w:r>
      <w:r>
        <w:rPr>
          <w:rFonts w:hint="eastAsia" w:ascii="宋体" w:hAnsi="宋体"/>
        </w:rPr>
        <w:t>经济</w:t>
      </w:r>
      <w:r>
        <w:rPr>
          <w:rFonts w:ascii="宋体" w:hAnsi="宋体"/>
        </w:rPr>
        <w:t>和社会发展</w:t>
      </w:r>
      <w:r>
        <w:rPr>
          <w:rFonts w:hint="eastAsia" w:ascii="宋体" w:hAnsi="宋体"/>
        </w:rPr>
        <w:t>提供</w:t>
      </w:r>
      <w:r>
        <w:rPr>
          <w:rFonts w:ascii="宋体" w:hAnsi="宋体"/>
        </w:rPr>
        <w:t>了持续的</w:t>
      </w:r>
      <w:r>
        <w:rPr>
          <w:rFonts w:hint="eastAsia" w:ascii="宋体" w:hAnsi="宋体"/>
        </w:rPr>
        <w:t>人才</w:t>
      </w:r>
      <w:r>
        <w:rPr>
          <w:rFonts w:ascii="宋体" w:hAnsi="宋体"/>
        </w:rPr>
        <w:t>支持和智力支撑</w:t>
      </w:r>
      <w:r>
        <w:rPr>
          <w:rFonts w:hint="eastAsia" w:ascii="宋体" w:hAnsi="宋体"/>
        </w:rPr>
        <w:t>。</w:t>
      </w:r>
    </w:p>
    <w:p>
      <w:pPr>
        <w:pStyle w:val="178"/>
        <w:spacing w:before="0" w:beforeLines="0"/>
        <w:ind w:firstLine="0" w:firstLineChars="0"/>
        <w:jc w:val="center"/>
      </w:pPr>
      <w:r>
        <w:drawing>
          <wp:inline distT="0" distB="0" distL="0" distR="0">
            <wp:extent cx="5528310" cy="1881505"/>
            <wp:effectExtent l="0" t="0" r="0" b="444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180"/>
        <w:rPr>
          <w:rStyle w:val="208"/>
          <w:rFonts w:hint="default" w:ascii="Times New Roman" w:hAnsi="Times New Roman"/>
        </w:rPr>
      </w:pPr>
      <w:bookmarkStart w:id="264" w:name="_Toc521678889"/>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3</w:t>
      </w:r>
      <w:r>
        <w:fldChar w:fldCharType="end"/>
      </w:r>
      <w:r>
        <w:rPr>
          <w:rStyle w:val="208"/>
          <w:rFonts w:hint="default" w:ascii="Times New Roman" w:hAnsi="Times New Roman"/>
        </w:rPr>
        <w:t xml:space="preserve">  2019-2021届毕业生</w:t>
      </w:r>
      <w:bookmarkEnd w:id="264"/>
      <w:r>
        <w:rPr>
          <w:rStyle w:val="208"/>
          <w:rFonts w:hint="default" w:ascii="Times New Roman" w:hAnsi="Times New Roman"/>
        </w:rPr>
        <w:t>省内就业比例</w:t>
      </w:r>
    </w:p>
    <w:p>
      <w:pPr>
        <w:pStyle w:val="118"/>
        <w:ind w:firstLine="360"/>
        <w:rPr>
          <w:color w:val="0F6FC6" w:themeColor="accent5"/>
          <w14:textFill>
            <w14:solidFill>
              <w14:schemeClr w14:val="accent5"/>
            </w14:solidFill>
          </w14:textFill>
        </w:rPr>
      </w:pPr>
      <w:bookmarkStart w:id="265" w:name="_Toc487789928"/>
      <w:bookmarkStart w:id="266" w:name="_Toc487790109"/>
      <w:bookmarkStart w:id="267" w:name="_Toc496017596"/>
      <w:bookmarkStart w:id="268" w:name="_Toc17272006"/>
      <w:r>
        <w:rPr>
          <w:rFonts w:hint="eastAsia"/>
          <w:color w:val="0F6FC6" w:themeColor="accent5"/>
          <w14:textFill>
            <w14:solidFill>
              <w14:schemeClr w14:val="accent5"/>
            </w14:solidFill>
          </w14:textFill>
        </w:rPr>
        <w:t>数据来源：1.2019和2020届数据来自《荆楚理工学院2020届毕业生就业质量年度报告》；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2.2021届数据来自湖北省高校毕业生就业办公系统。</w:t>
      </w:r>
    </w:p>
    <w:p>
      <w:pPr>
        <w:pStyle w:val="141"/>
        <w:spacing w:after="0" w:afterLines="0"/>
      </w:pPr>
      <w:bookmarkStart w:id="269" w:name="_Toc92706756"/>
      <w:bookmarkStart w:id="270" w:name="_Toc81325071"/>
      <w:r>
        <w:rPr>
          <w:rFonts w:hint="eastAsia"/>
          <w:color w:val="0F6FC6" w:themeColor="accent5"/>
          <w14:textFill>
            <w14:solidFill>
              <w14:schemeClr w14:val="accent5"/>
            </w14:solidFill>
          </w14:textFill>
        </w:rPr>
        <w:t>三</w:t>
      </w:r>
      <w:r>
        <w:rPr>
          <w:color w:val="0F6FC6" w:themeColor="accent5"/>
          <w14:textFill>
            <w14:solidFill>
              <w14:schemeClr w14:val="accent5"/>
            </w14:solidFill>
          </w14:textFill>
        </w:rPr>
        <w:t>、</w:t>
      </w:r>
      <w:bookmarkEnd w:id="265"/>
      <w:bookmarkEnd w:id="266"/>
      <w:r>
        <w:rPr>
          <w:rFonts w:hint="eastAsia"/>
          <w:color w:val="0F6FC6" w:themeColor="accent5"/>
          <w14:textFill>
            <w14:solidFill>
              <w14:schemeClr w14:val="accent5"/>
            </w14:solidFill>
          </w14:textFill>
        </w:rPr>
        <w:t>近三年</w:t>
      </w:r>
      <w:r>
        <w:rPr>
          <w:color w:val="0F6FC6" w:themeColor="accent5"/>
          <w14:textFill>
            <w14:solidFill>
              <w14:schemeClr w14:val="accent5"/>
            </w14:solidFill>
          </w14:textFill>
        </w:rPr>
        <w:t>就业</w:t>
      </w:r>
      <w:r>
        <w:rPr>
          <w:rFonts w:hint="eastAsia"/>
          <w:color w:val="0F6FC6" w:themeColor="accent5"/>
          <w14:textFill>
            <w14:solidFill>
              <w14:schemeClr w14:val="accent5"/>
            </w14:solidFill>
          </w14:textFill>
        </w:rPr>
        <w:t>行业</w:t>
      </w:r>
      <w:bookmarkEnd w:id="267"/>
      <w:r>
        <w:rPr>
          <w:rFonts w:hint="eastAsia"/>
          <w:color w:val="0F6FC6" w:themeColor="accent5"/>
          <w14:textFill>
            <w14:solidFill>
              <w14:schemeClr w14:val="accent5"/>
            </w14:solidFill>
          </w14:textFill>
        </w:rPr>
        <w:t>变化趋势</w:t>
      </w:r>
      <w:bookmarkEnd w:id="268"/>
      <w:bookmarkEnd w:id="269"/>
      <w:bookmarkEnd w:id="270"/>
    </w:p>
    <w:p>
      <w:pPr>
        <w:pStyle w:val="72"/>
        <w:spacing w:beforeLines="0" w:afterLines="0"/>
        <w:ind w:firstLine="360" w:firstLineChars="150"/>
        <w:jc w:val="both"/>
        <w:outlineLvl w:val="9"/>
        <w:rPr>
          <w:rFonts w:ascii="Times New Roman" w:hAnsi="Times New Roman" w:eastAsiaTheme="minorEastAsia"/>
          <w:b w:val="0"/>
          <w:color w:val="auto"/>
          <w:sz w:val="24"/>
          <w:szCs w:val="24"/>
          <w:lang w:val="en-US"/>
        </w:rPr>
      </w:pPr>
      <w:r>
        <w:rPr>
          <w:rFonts w:hint="eastAsia" w:ascii="Times New Roman" w:hAnsi="Times New Roman" w:eastAsia="宋体"/>
          <w:b w:val="0"/>
          <w:sz w:val="24"/>
        </w:rPr>
        <w:t>近年来，毕业生的就业行业分布较为广泛，覆盖了</w:t>
      </w:r>
      <w:r>
        <w:rPr>
          <w:rFonts w:hint="eastAsia" w:ascii="宋体" w:hAnsi="宋体" w:eastAsia="宋体"/>
          <w:b w:val="0"/>
          <w:sz w:val="24"/>
        </w:rPr>
        <w:t>“</w:t>
      </w:r>
      <w:r>
        <w:rPr>
          <w:rFonts w:hint="eastAsia" w:ascii="Times New Roman" w:hAnsi="Times New Roman" w:eastAsia="宋体"/>
          <w:b w:val="0"/>
          <w:sz w:val="24"/>
        </w:rPr>
        <w:t>教育</w:t>
      </w:r>
      <w:r>
        <w:rPr>
          <w:rFonts w:hint="eastAsia" w:ascii="宋体" w:hAnsi="宋体" w:eastAsia="宋体"/>
          <w:b w:val="0"/>
          <w:sz w:val="24"/>
        </w:rPr>
        <w:t>”</w:t>
      </w:r>
      <w:r>
        <w:rPr>
          <w:rFonts w:hint="eastAsia" w:ascii="Times New Roman" w:hAnsi="Times New Roman" w:eastAsia="宋体"/>
          <w:b w:val="0"/>
          <w:sz w:val="24"/>
        </w:rPr>
        <w:t>、</w:t>
      </w:r>
      <w:r>
        <w:rPr>
          <w:rFonts w:hint="eastAsia" w:ascii="宋体" w:hAnsi="宋体" w:eastAsia="宋体"/>
          <w:b w:val="0"/>
          <w:sz w:val="24"/>
        </w:rPr>
        <w:t>“</w:t>
      </w:r>
      <w:r>
        <w:rPr>
          <w:rFonts w:hint="eastAsia" w:ascii="Times New Roman" w:hAnsi="Times New Roman" w:eastAsia="宋体"/>
          <w:b w:val="0"/>
          <w:sz w:val="24"/>
        </w:rPr>
        <w:t>居民服务、修理和其他服务业</w:t>
      </w:r>
      <w:r>
        <w:rPr>
          <w:rFonts w:hint="eastAsia" w:ascii="宋体" w:hAnsi="宋体" w:eastAsia="宋体"/>
          <w:b w:val="0"/>
          <w:sz w:val="24"/>
        </w:rPr>
        <w:t>”</w:t>
      </w:r>
      <w:r>
        <w:rPr>
          <w:rFonts w:hint="eastAsia" w:ascii="Times New Roman" w:hAnsi="Times New Roman" w:eastAsia="宋体"/>
          <w:b w:val="0"/>
          <w:sz w:val="24"/>
        </w:rPr>
        <w:t>、</w:t>
      </w:r>
      <w:r>
        <w:rPr>
          <w:rFonts w:hint="eastAsia" w:ascii="宋体" w:hAnsi="宋体" w:eastAsia="宋体"/>
          <w:b w:val="0"/>
          <w:sz w:val="24"/>
        </w:rPr>
        <w:t>“</w:t>
      </w:r>
      <w:r>
        <w:rPr>
          <w:rFonts w:hint="eastAsia" w:ascii="Times New Roman" w:hAnsi="Times New Roman" w:eastAsia="宋体"/>
          <w:b w:val="0"/>
          <w:sz w:val="24"/>
        </w:rPr>
        <w:t>信息传输、软件和信息技术服务业</w:t>
      </w:r>
      <w:r>
        <w:rPr>
          <w:rFonts w:hint="eastAsia" w:ascii="宋体" w:hAnsi="宋体" w:eastAsia="宋体"/>
          <w:b w:val="0"/>
          <w:sz w:val="24"/>
        </w:rPr>
        <w:t>”</w:t>
      </w:r>
      <w:r>
        <w:rPr>
          <w:rFonts w:hint="eastAsia" w:ascii="Times New Roman" w:hAnsi="Times New Roman" w:eastAsia="宋体"/>
          <w:b w:val="0"/>
          <w:sz w:val="24"/>
        </w:rPr>
        <w:t>等多个行业；其中</w:t>
      </w:r>
      <w:r>
        <w:rPr>
          <w:rFonts w:hint="eastAsia" w:ascii="宋体" w:hAnsi="宋体" w:eastAsia="宋体"/>
          <w:b w:val="0"/>
          <w:sz w:val="24"/>
        </w:rPr>
        <w:t>“</w:t>
      </w:r>
      <w:r>
        <w:rPr>
          <w:rFonts w:hint="eastAsia" w:ascii="Times New Roman" w:hAnsi="Times New Roman" w:eastAsia="宋体"/>
          <w:b w:val="0"/>
          <w:sz w:val="24"/>
        </w:rPr>
        <w:t>教育</w:t>
      </w:r>
      <w:r>
        <w:rPr>
          <w:rFonts w:hint="eastAsia" w:ascii="宋体" w:hAnsi="宋体" w:eastAsia="宋体"/>
          <w:b w:val="0"/>
          <w:sz w:val="24"/>
        </w:rPr>
        <w:t>”领域</w:t>
      </w:r>
      <w:r>
        <w:rPr>
          <w:rFonts w:hint="eastAsia" w:ascii="Times New Roman" w:hAnsi="Times New Roman" w:eastAsia="宋体"/>
          <w:b w:val="0"/>
          <w:sz w:val="24"/>
        </w:rPr>
        <w:t>为近三届毕业生主要</w:t>
      </w:r>
      <w:r>
        <w:rPr>
          <w:rFonts w:ascii="Times New Roman" w:hAnsi="Times New Roman" w:eastAsia="宋体"/>
          <w:b w:val="0"/>
          <w:sz w:val="24"/>
        </w:rPr>
        <w:t>行业</w:t>
      </w:r>
      <w:r>
        <w:rPr>
          <w:rFonts w:hint="eastAsia" w:ascii="Times New Roman" w:hAnsi="Times New Roman" w:eastAsia="宋体"/>
          <w:b w:val="0"/>
          <w:sz w:val="24"/>
        </w:rPr>
        <w:t>流向，占比均在</w:t>
      </w:r>
      <w:r>
        <w:rPr>
          <w:rFonts w:ascii="Times New Roman" w:hAnsi="Times New Roman" w:eastAsia="宋体"/>
          <w:b w:val="0"/>
          <w:sz w:val="24"/>
        </w:rPr>
        <w:t>18.98</w:t>
      </w:r>
      <w:r>
        <w:rPr>
          <w:rFonts w:hint="eastAsia" w:ascii="Times New Roman" w:hAnsi="Times New Roman" w:eastAsia="宋体"/>
          <w:b w:val="0"/>
          <w:sz w:val="24"/>
        </w:rPr>
        <w:t>%及以上</w:t>
      </w:r>
      <w:r>
        <w:rPr>
          <w:rFonts w:ascii="Times New Roman" w:hAnsi="Times New Roman" w:eastAsiaTheme="minorEastAsia"/>
          <w:b w:val="0"/>
          <w:color w:val="auto"/>
          <w:sz w:val="24"/>
          <w:szCs w:val="24"/>
          <w:lang w:val="en-US"/>
        </w:rPr>
        <w:t>。</w:t>
      </w:r>
    </w:p>
    <w:p>
      <w:pPr>
        <w:pStyle w:val="72"/>
        <w:spacing w:beforeLines="0" w:afterLines="0"/>
        <w:ind w:firstLine="450" w:firstLineChars="150"/>
        <w:jc w:val="both"/>
        <w:outlineLvl w:val="9"/>
        <w:rPr>
          <w:rFonts w:ascii="Times New Roman" w:hAnsi="Times New Roman" w:eastAsiaTheme="minorEastAsia"/>
          <w:b w:val="0"/>
          <w:color w:val="auto"/>
          <w:sz w:val="24"/>
          <w:szCs w:val="24"/>
          <w:lang w:val="en-US"/>
        </w:rPr>
      </w:pPr>
      <w:r>
        <w:rPr>
          <w:rFonts w:ascii="Times New Roman" w:hAnsi="Times New Roman" w:eastAsia="宋体"/>
          <w:szCs w:val="21"/>
          <w:lang w:val="en-US"/>
        </w:rPr>
        <w:drawing>
          <wp:inline distT="0" distB="0" distL="0" distR="0">
            <wp:extent cx="5486400" cy="2009775"/>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180"/>
      </w:pPr>
      <w:bookmarkStart w:id="271" w:name="_Toc521678895"/>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4</w:t>
      </w:r>
      <w:r>
        <w:fldChar w:fldCharType="end"/>
      </w:r>
      <w:r>
        <w:t xml:space="preserve">  2019-2021届毕业生</w:t>
      </w:r>
      <w:r>
        <w:rPr>
          <w:rFonts w:hint="eastAsia"/>
        </w:rPr>
        <w:t>就业行业分布</w:t>
      </w:r>
      <w:bookmarkEnd w:id="271"/>
    </w:p>
    <w:p>
      <w:pPr>
        <w:pStyle w:val="118"/>
        <w:ind w:firstLine="360"/>
        <w:rPr>
          <w:color w:val="0F6FC6" w:themeColor="accent5"/>
          <w14:textFill>
            <w14:solidFill>
              <w14:schemeClr w14:val="accent5"/>
            </w14:solidFill>
          </w14:textFill>
        </w:rPr>
      </w:pPr>
      <w:bookmarkStart w:id="272" w:name="_Toc487790108"/>
      <w:bookmarkStart w:id="273" w:name="_Toc487789927"/>
      <w:bookmarkStart w:id="274" w:name="_Toc496017595"/>
      <w:bookmarkStart w:id="275" w:name="_Toc17272007"/>
      <w:bookmarkStart w:id="276" w:name="_Toc437507265"/>
      <w:bookmarkStart w:id="277" w:name="_Toc436647337"/>
      <w:bookmarkStart w:id="278" w:name="_Toc437507055"/>
      <w:bookmarkStart w:id="279" w:name="_Toc437507338"/>
      <w:bookmarkStart w:id="280" w:name="_Toc438738453"/>
      <w:bookmarkStart w:id="281" w:name="_Toc437421159"/>
      <w:r>
        <w:rPr>
          <w:rFonts w:hint="eastAsia"/>
          <w:color w:val="0F6FC6" w:themeColor="accent5"/>
          <w14:textFill>
            <w14:solidFill>
              <w14:schemeClr w14:val="accent5"/>
            </w14:solidFill>
          </w14:textFill>
        </w:rPr>
        <w:t>数据来源：1.2019和2020届数据来自《荆楚理工学院2020届毕业生就业质量年度报告》；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2.2021届数据来自湖北省高校毕业生就业办公系统。</w:t>
      </w:r>
    </w:p>
    <w:p>
      <w:pPr>
        <w:pStyle w:val="141"/>
      </w:pPr>
      <w:bookmarkStart w:id="282" w:name="_Toc81325072"/>
      <w:bookmarkStart w:id="283" w:name="_Toc92706757"/>
      <w:r>
        <w:rPr>
          <w:rFonts w:hint="eastAsia"/>
          <w:color w:val="0F6FC6" w:themeColor="accent5"/>
          <w14:textFill>
            <w14:solidFill>
              <w14:schemeClr w14:val="accent5"/>
            </w14:solidFill>
          </w14:textFill>
        </w:rPr>
        <w:t>四</w:t>
      </w:r>
      <w:r>
        <w:rPr>
          <w:color w:val="0F6FC6" w:themeColor="accent5"/>
          <w14:textFill>
            <w14:solidFill>
              <w14:schemeClr w14:val="accent5"/>
            </w14:solidFill>
          </w14:textFill>
        </w:rPr>
        <w:t>、</w:t>
      </w:r>
      <w:bookmarkEnd w:id="272"/>
      <w:bookmarkEnd w:id="273"/>
      <w:bookmarkEnd w:id="274"/>
      <w:r>
        <w:rPr>
          <w:rFonts w:hint="eastAsia"/>
          <w:color w:val="0F6FC6" w:themeColor="accent5"/>
          <w14:textFill>
            <w14:solidFill>
              <w14:schemeClr w14:val="accent5"/>
            </w14:solidFill>
          </w14:textFill>
        </w:rPr>
        <w:t>近三年就业</w:t>
      </w:r>
      <w:r>
        <w:rPr>
          <w:color w:val="0F6FC6" w:themeColor="accent5"/>
          <w14:textFill>
            <w14:solidFill>
              <w14:schemeClr w14:val="accent5"/>
            </w14:solidFill>
          </w14:textFill>
        </w:rPr>
        <w:t>单位变化趋势</w:t>
      </w:r>
      <w:bookmarkEnd w:id="275"/>
      <w:bookmarkEnd w:id="282"/>
      <w:bookmarkEnd w:id="283"/>
    </w:p>
    <w:p>
      <w:pPr>
        <w:spacing w:before="156" w:beforeLines="50" w:after="156" w:afterLines="50" w:line="360" w:lineRule="auto"/>
        <w:ind w:firstLine="480" w:firstLineChars="200"/>
        <w:jc w:val="both"/>
        <w:rPr>
          <w:rStyle w:val="62"/>
          <w:rFonts w:ascii="Times New Roman" w:hAnsi="Times New Roman"/>
        </w:rPr>
      </w:pPr>
      <w:r>
        <w:rPr>
          <w:rFonts w:hint="eastAsia" w:ascii="Times New Roman" w:hAnsi="Times New Roman"/>
          <w:color w:val="000000" w:themeColor="text1"/>
          <w:szCs w:val="21"/>
          <w14:textFill>
            <w14:solidFill>
              <w14:schemeClr w14:val="tx1"/>
            </w14:solidFill>
          </w14:textFill>
        </w:rPr>
        <w:t>其他企业（民营企业为主）为历届毕业生主要就业单位，占比均在</w:t>
      </w:r>
      <w:r>
        <w:rPr>
          <w:rFonts w:ascii="Times New Roman" w:hAnsi="Times New Roman"/>
          <w:color w:val="000000" w:themeColor="text1"/>
          <w:szCs w:val="21"/>
          <w14:textFill>
            <w14:solidFill>
              <w14:schemeClr w14:val="tx1"/>
            </w14:solidFill>
          </w14:textFill>
        </w:rPr>
        <w:t>65.73</w:t>
      </w:r>
      <w:r>
        <w:rPr>
          <w:rFonts w:hint="eastAsia" w:ascii="Times New Roman" w:hAnsi="Times New Roman"/>
          <w:color w:val="000000" w:themeColor="text1"/>
          <w:szCs w:val="21"/>
          <w14:textFill>
            <w14:solidFill>
              <w14:schemeClr w14:val="tx1"/>
            </w14:solidFill>
          </w14:textFill>
        </w:rPr>
        <w:t>%及以上，其次集中在中初教育单位，占比均在7</w:t>
      </w:r>
      <w:r>
        <w:rPr>
          <w:rFonts w:ascii="Times New Roman" w:hAnsi="Times New Roman"/>
          <w:color w:val="000000" w:themeColor="text1"/>
          <w:szCs w:val="21"/>
          <w14:textFill>
            <w14:solidFill>
              <w14:schemeClr w14:val="tx1"/>
            </w14:solidFill>
          </w14:textFill>
        </w:rPr>
        <w:t>.23%</w:t>
      </w:r>
      <w:r>
        <w:rPr>
          <w:rFonts w:hint="eastAsia" w:ascii="Times New Roman" w:hAnsi="Times New Roman"/>
          <w:color w:val="000000" w:themeColor="text1"/>
          <w:szCs w:val="21"/>
          <w14:textFill>
            <w14:solidFill>
              <w14:schemeClr w14:val="tx1"/>
            </w14:solidFill>
          </w14:textFill>
        </w:rPr>
        <w:t>及以上。</w:t>
      </w:r>
    </w:p>
    <w:p>
      <w:pPr>
        <w:spacing w:before="156" w:beforeLines="50" w:after="156" w:afterLines="50" w:line="360" w:lineRule="auto"/>
        <w:ind w:firstLine="480" w:firstLineChars="200"/>
        <w:jc w:val="both"/>
        <w:rPr>
          <w:rFonts w:ascii="Times New Roman" w:hAnsi="Times New Roman"/>
          <w:color w:val="000000"/>
          <w:szCs w:val="21"/>
        </w:rPr>
      </w:pPr>
      <w:r>
        <w:rPr>
          <w:rFonts w:hint="eastAsia"/>
        </w:rPr>
        <w:drawing>
          <wp:inline distT="0" distB="0" distL="0" distR="0">
            <wp:extent cx="4953000" cy="345757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180"/>
        <w:tabs>
          <w:tab w:val="left" w:pos="400"/>
          <w:tab w:val="center" w:pos="4394"/>
        </w:tabs>
      </w:pPr>
      <w:bookmarkStart w:id="284" w:name="_Toc521678896"/>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5</w:t>
      </w:r>
      <w:r>
        <w:fldChar w:fldCharType="end"/>
      </w:r>
      <w:r>
        <w:t xml:space="preserve">  </w:t>
      </w:r>
      <w:r>
        <w:rPr>
          <w:rFonts w:eastAsia="宋体"/>
        </w:rPr>
        <w:t>2019</w:t>
      </w:r>
      <w:r>
        <w:t>-</w:t>
      </w:r>
      <w:r>
        <w:rPr>
          <w:rFonts w:eastAsia="宋体"/>
        </w:rPr>
        <w:t>2021</w:t>
      </w:r>
      <w:r>
        <w:t>届毕业生</w:t>
      </w:r>
      <w:r>
        <w:rPr>
          <w:rFonts w:hint="eastAsia"/>
        </w:rPr>
        <w:t>主要就业</w:t>
      </w:r>
      <w:r>
        <w:t>单位</w:t>
      </w:r>
      <w:r>
        <w:rPr>
          <w:rFonts w:hint="eastAsia"/>
        </w:rPr>
        <w:t>分布</w:t>
      </w:r>
      <w:bookmarkEnd w:id="284"/>
    </w:p>
    <w:bookmarkEnd w:id="276"/>
    <w:bookmarkEnd w:id="277"/>
    <w:bookmarkEnd w:id="278"/>
    <w:bookmarkEnd w:id="279"/>
    <w:bookmarkEnd w:id="280"/>
    <w:bookmarkEnd w:id="281"/>
    <w:p>
      <w:pPr>
        <w:pStyle w:val="118"/>
        <w:ind w:firstLine="360"/>
        <w:rPr>
          <w:color w:val="0F6FC6" w:themeColor="accent1"/>
          <w14:textFill>
            <w14:solidFill>
              <w14:schemeClr w14:val="accent1"/>
            </w14:solidFill>
          </w14:textFill>
        </w:rPr>
      </w:pPr>
      <w:r>
        <w:rPr>
          <w:rFonts w:hint="eastAsia"/>
          <w:color w:val="0F6FC6" w:themeColor="accent1"/>
          <w14:textFill>
            <w14:solidFill>
              <w14:schemeClr w14:val="accent1"/>
            </w14:solidFill>
          </w14:textFill>
        </w:rPr>
        <w:t>注：其他企业指除国有企业和三资企业之外的所有企业，主要包括民营企业、集体所有制企业等。</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数据来源：1.2019和2020届数据来自《荆楚理工学院2020届毕业生就业质量年度报告》；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2.2021届数据来自湖北省高校毕业生就业办公系统。</w:t>
      </w:r>
    </w:p>
    <w:p>
      <w:pPr>
        <w:pStyle w:val="141"/>
        <w:spacing w:after="0" w:afterLines="0"/>
        <w:rPr>
          <w:color w:val="0F6FC6" w:themeColor="accent5"/>
          <w14:textFill>
            <w14:solidFill>
              <w14:schemeClr w14:val="accent5"/>
            </w14:solidFill>
          </w14:textFill>
        </w:rPr>
      </w:pPr>
      <w:bookmarkStart w:id="285" w:name="_Toc92706758"/>
      <w:r>
        <w:rPr>
          <w:rFonts w:hint="eastAsia"/>
          <w:color w:val="0F6FC6" w:themeColor="accent5"/>
          <w14:textFill>
            <w14:solidFill>
              <w14:schemeClr w14:val="accent5"/>
            </w14:solidFill>
          </w14:textFill>
        </w:rPr>
        <w:t>五、近三年薪酬</w:t>
      </w:r>
      <w:r>
        <w:rPr>
          <w:color w:val="0F6FC6" w:themeColor="accent5"/>
          <w14:textFill>
            <w14:solidFill>
              <w14:schemeClr w14:val="accent5"/>
            </w14:solidFill>
          </w14:textFill>
        </w:rPr>
        <w:t>变化趋势</w:t>
      </w:r>
      <w:bookmarkEnd w:id="285"/>
    </w:p>
    <w:p>
      <w:pPr>
        <w:pStyle w:val="178"/>
        <w:spacing w:before="0" w:beforeLines="0"/>
        <w:ind w:firstLine="480"/>
      </w:pPr>
      <w:r>
        <w:t>学校</w:t>
      </w:r>
      <w:r>
        <w:rPr>
          <w:rFonts w:hint="eastAsia"/>
        </w:rPr>
        <w:t>近三届</w:t>
      </w:r>
      <w:r>
        <w:t>毕业生</w:t>
      </w:r>
      <w:r>
        <w:rPr>
          <w:rFonts w:hint="eastAsia"/>
        </w:rPr>
        <w:t>薪酬均在4</w:t>
      </w:r>
      <w:r>
        <w:t>130.00</w:t>
      </w:r>
      <w:r>
        <w:rPr>
          <w:rFonts w:hint="eastAsia"/>
        </w:rPr>
        <w:t>元及以上，</w:t>
      </w:r>
      <w:r>
        <w:t>2021届</w:t>
      </w:r>
      <w:r>
        <w:rPr>
          <w:rFonts w:hint="eastAsia"/>
        </w:rPr>
        <w:t>毕业生薪酬较2</w:t>
      </w:r>
      <w:r>
        <w:t>020</w:t>
      </w:r>
      <w:r>
        <w:rPr>
          <w:rFonts w:hint="eastAsia"/>
        </w:rPr>
        <w:t>届上涨3</w:t>
      </w:r>
      <w:r>
        <w:t>26.14%</w:t>
      </w:r>
      <w:r>
        <w:rPr>
          <w:rFonts w:hint="eastAsia"/>
        </w:rPr>
        <w:t>；较2</w:t>
      </w:r>
      <w:r>
        <w:t>019</w:t>
      </w:r>
      <w:r>
        <w:rPr>
          <w:rFonts w:hint="eastAsia"/>
        </w:rPr>
        <w:t>届上涨3</w:t>
      </w:r>
      <w:r>
        <w:t>81.14</w:t>
      </w:r>
      <w:r>
        <w:rPr>
          <w:rFonts w:hint="eastAsia"/>
        </w:rPr>
        <w:t>元。</w:t>
      </w:r>
    </w:p>
    <w:p>
      <w:pPr>
        <w:pStyle w:val="178"/>
        <w:spacing w:before="0" w:beforeLines="0"/>
        <w:ind w:firstLine="480"/>
        <w:jc w:val="center"/>
      </w:pPr>
      <w:r>
        <w:drawing>
          <wp:inline distT="0" distB="0" distL="0" distR="0">
            <wp:extent cx="4962525" cy="1762125"/>
            <wp:effectExtent l="0" t="0" r="0" b="0"/>
            <wp:docPr id="7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180"/>
        <w:tabs>
          <w:tab w:val="left" w:pos="400"/>
          <w:tab w:val="center" w:pos="4394"/>
        </w:tabs>
      </w:pPr>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6</w:t>
      </w:r>
      <w:r>
        <w:fldChar w:fldCharType="end"/>
      </w:r>
      <w:r>
        <w:t xml:space="preserve">  </w:t>
      </w:r>
      <w:r>
        <w:rPr>
          <w:rFonts w:eastAsia="宋体"/>
        </w:rPr>
        <w:t>2019</w:t>
      </w:r>
      <w:r>
        <w:t>-</w:t>
      </w:r>
      <w:r>
        <w:rPr>
          <w:rFonts w:eastAsia="宋体"/>
        </w:rPr>
        <w:t>2021</w:t>
      </w:r>
      <w:r>
        <w:t>届毕业生</w:t>
      </w:r>
      <w:r>
        <w:rPr>
          <w:rFonts w:hint="eastAsia"/>
        </w:rPr>
        <w:t>薪酬分布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数据来源：1.2019届数据来自《荆楚理工学院20</w:t>
      </w:r>
      <w:r>
        <w:rPr>
          <w:color w:val="0F6FC6" w:themeColor="accent5"/>
          <w14:textFill>
            <w14:solidFill>
              <w14:schemeClr w14:val="accent5"/>
            </w14:solidFill>
          </w14:textFill>
        </w:rPr>
        <w:t>19</w:t>
      </w:r>
      <w:r>
        <w:rPr>
          <w:rFonts w:hint="eastAsia"/>
          <w:color w:val="0F6FC6" w:themeColor="accent5"/>
          <w14:textFill>
            <w14:solidFill>
              <w14:schemeClr w14:val="accent5"/>
            </w14:solidFill>
          </w14:textFill>
        </w:rPr>
        <w:t>届毕业生就业质量年度报告》；</w:t>
      </w:r>
    </w:p>
    <w:p>
      <w:pPr>
        <w:pStyle w:val="118"/>
        <w:ind w:firstLine="1260" w:firstLineChars="700"/>
        <w:rPr>
          <w:color w:val="0F6FC6" w:themeColor="accent5"/>
          <w14:textFill>
            <w14:solidFill>
              <w14:schemeClr w14:val="accent5"/>
            </w14:solidFill>
          </w14:textFill>
        </w:rPr>
      </w:pPr>
      <w:r>
        <w:rPr>
          <w:color w:val="0F6FC6" w:themeColor="accent5"/>
          <w14:textFill>
            <w14:solidFill>
              <w14:schemeClr w14:val="accent5"/>
            </w14:solidFill>
          </w14:textFill>
        </w:rPr>
        <w:t>2.</w:t>
      </w:r>
      <w:r>
        <w:rPr>
          <w:rFonts w:hint="eastAsia"/>
          <w:color w:val="0F6FC6" w:themeColor="accent5"/>
          <w14:textFill>
            <w14:solidFill>
              <w14:schemeClr w14:val="accent5"/>
            </w14:solidFill>
          </w14:textFill>
        </w:rPr>
        <w:t>20</w:t>
      </w:r>
      <w:r>
        <w:rPr>
          <w:color w:val="0F6FC6" w:themeColor="accent5"/>
          <w14:textFill>
            <w14:solidFill>
              <w14:schemeClr w14:val="accent5"/>
            </w14:solidFill>
          </w14:textFill>
        </w:rPr>
        <w:t>20</w:t>
      </w:r>
      <w:r>
        <w:rPr>
          <w:rFonts w:hint="eastAsia"/>
          <w:color w:val="0F6FC6" w:themeColor="accent5"/>
          <w14:textFill>
            <w14:solidFill>
              <w14:schemeClr w14:val="accent5"/>
            </w14:solidFill>
          </w14:textFill>
        </w:rPr>
        <w:t>届数据来自《荆楚理工学院20</w:t>
      </w:r>
      <w:r>
        <w:rPr>
          <w:color w:val="0F6FC6" w:themeColor="accent5"/>
          <w14:textFill>
            <w14:solidFill>
              <w14:schemeClr w14:val="accent5"/>
            </w14:solidFill>
          </w14:textFill>
        </w:rPr>
        <w:t>20</w:t>
      </w:r>
      <w:r>
        <w:rPr>
          <w:rFonts w:hint="eastAsia"/>
          <w:color w:val="0F6FC6" w:themeColor="accent5"/>
          <w14:textFill>
            <w14:solidFill>
              <w14:schemeClr w14:val="accent5"/>
            </w14:solidFill>
          </w14:textFill>
        </w:rPr>
        <w:t>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w:t>
      </w:r>
      <w:r>
        <w:rPr>
          <w:color w:val="0F6FC6" w:themeColor="accent5"/>
          <w14:textFill>
            <w14:solidFill>
              <w14:schemeClr w14:val="accent5"/>
            </w14:solidFill>
          </w14:textFill>
        </w:rPr>
        <w:t>3</w:t>
      </w:r>
      <w:r>
        <w:rPr>
          <w:rFonts w:hint="eastAsia"/>
          <w:color w:val="0F6FC6" w:themeColor="accent5"/>
          <w14:textFill>
            <w14:solidFill>
              <w14:schemeClr w14:val="accent5"/>
            </w14:solidFill>
          </w14:textFill>
        </w:rPr>
        <w:t>.2021届数据来自第三方机构新锦成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1"/>
        <w:spacing w:after="0" w:afterLines="0"/>
        <w:rPr>
          <w:color w:val="0F6FC6" w:themeColor="accent5"/>
          <w14:textFill>
            <w14:solidFill>
              <w14:schemeClr w14:val="accent5"/>
            </w14:solidFill>
          </w14:textFill>
        </w:rPr>
      </w:pPr>
      <w:bookmarkStart w:id="286" w:name="_Toc92706759"/>
      <w:r>
        <w:rPr>
          <w:rFonts w:hint="eastAsia"/>
          <w:color w:val="0F6FC6" w:themeColor="accent5"/>
          <w14:textFill>
            <w14:solidFill>
              <w14:schemeClr w14:val="accent5"/>
            </w14:solidFill>
          </w14:textFill>
        </w:rPr>
        <w:t>六、近三年升学率</w:t>
      </w:r>
      <w:r>
        <w:rPr>
          <w:color w:val="0F6FC6" w:themeColor="accent5"/>
          <w14:textFill>
            <w14:solidFill>
              <w14:schemeClr w14:val="accent5"/>
            </w14:solidFill>
          </w14:textFill>
        </w:rPr>
        <w:t>变化趋势</w:t>
      </w:r>
      <w:bookmarkEnd w:id="286"/>
    </w:p>
    <w:p>
      <w:pPr>
        <w:pStyle w:val="178"/>
        <w:spacing w:before="0" w:beforeLines="0"/>
        <w:ind w:firstLine="480"/>
      </w:pPr>
      <w:r>
        <w:t>学校近三届毕业生升学率</w:t>
      </w:r>
      <w:r>
        <w:rPr>
          <w:color w:val="000000" w:themeColor="text1"/>
          <w:szCs w:val="21"/>
          <w14:textFill>
            <w14:solidFill>
              <w14:schemeClr w14:val="tx1"/>
            </w14:solidFill>
          </w14:textFill>
        </w:rPr>
        <w:t>均</w:t>
      </w:r>
      <w:r>
        <w:t>在13.65%及以上</w:t>
      </w:r>
      <w:r>
        <w:rPr>
          <w:rFonts w:hint="eastAsia"/>
        </w:rPr>
        <w:t>。</w:t>
      </w:r>
      <w:r>
        <w:t>其中，2021届</w:t>
      </w:r>
      <w:r>
        <w:rPr>
          <w:rFonts w:hint="eastAsia"/>
        </w:rPr>
        <w:t>本科毕业生升学率为6</w:t>
      </w:r>
      <w:r>
        <w:t>.54%</w:t>
      </w:r>
      <w:r>
        <w:rPr>
          <w:rFonts w:hint="eastAsia"/>
        </w:rPr>
        <w:t>，较</w:t>
      </w:r>
      <w:r>
        <w:t>2020</w:t>
      </w:r>
      <w:r>
        <w:rPr>
          <w:rFonts w:hint="eastAsia"/>
        </w:rPr>
        <w:t>届减少2</w:t>
      </w:r>
      <w:r>
        <w:t>.87</w:t>
      </w:r>
      <w:r>
        <w:rPr>
          <w:rFonts w:hint="eastAsia"/>
        </w:rPr>
        <w:t>个百分点；2</w:t>
      </w:r>
      <w:r>
        <w:t>021</w:t>
      </w:r>
      <w:r>
        <w:rPr>
          <w:rFonts w:hint="eastAsia"/>
        </w:rPr>
        <w:t>届专科毕业生升学率为4</w:t>
      </w:r>
      <w:r>
        <w:t>3.47%</w:t>
      </w:r>
      <w:r>
        <w:rPr>
          <w:rFonts w:hint="eastAsia"/>
        </w:rPr>
        <w:t>，较2</w:t>
      </w:r>
      <w:r>
        <w:t>020</w:t>
      </w:r>
      <w:r>
        <w:rPr>
          <w:rFonts w:hint="eastAsia"/>
        </w:rPr>
        <w:t>届减少7</w:t>
      </w:r>
      <w:r>
        <w:t>.53</w:t>
      </w:r>
      <w:r>
        <w:rPr>
          <w:rFonts w:hint="eastAsia"/>
        </w:rPr>
        <w:t>个百分点。</w:t>
      </w:r>
    </w:p>
    <w:p>
      <w:pPr>
        <w:pStyle w:val="178"/>
        <w:spacing w:before="0" w:beforeLines="0"/>
        <w:ind w:firstLine="480"/>
        <w:rPr>
          <w:rFonts w:ascii="宋体" w:hAnsi="宋体"/>
        </w:rPr>
      </w:pPr>
      <w:r>
        <w:rPr>
          <w:rFonts w:cs="宋体"/>
          <w:szCs w:val="21"/>
        </w:rPr>
        <w:drawing>
          <wp:anchor distT="0" distB="0" distL="114300" distR="114300" simplePos="0" relativeHeight="251698176" behindDoc="0" locked="0" layoutInCell="1" allowOverlap="1">
            <wp:simplePos x="0" y="0"/>
            <wp:positionH relativeFrom="margin">
              <wp:posOffset>200025</wp:posOffset>
            </wp:positionH>
            <wp:positionV relativeFrom="paragraph">
              <wp:posOffset>31750</wp:posOffset>
            </wp:positionV>
            <wp:extent cx="5324475" cy="1743075"/>
            <wp:effectExtent l="0" t="0" r="0" b="0"/>
            <wp:wrapNone/>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pPr>
        <w:pStyle w:val="178"/>
        <w:spacing w:before="0" w:beforeLines="0"/>
        <w:ind w:firstLine="480"/>
        <w:rPr>
          <w:rFonts w:ascii="宋体" w:hAnsi="宋体"/>
        </w:rPr>
      </w:pPr>
    </w:p>
    <w:p>
      <w:pPr>
        <w:pStyle w:val="178"/>
        <w:spacing w:before="0" w:beforeLines="0"/>
        <w:ind w:firstLine="480"/>
        <w:rPr>
          <w:rFonts w:ascii="宋体" w:hAnsi="宋体"/>
        </w:rPr>
      </w:pPr>
    </w:p>
    <w:p>
      <w:pPr>
        <w:pStyle w:val="178"/>
        <w:spacing w:before="0" w:beforeLines="0"/>
        <w:ind w:firstLine="480"/>
        <w:rPr>
          <w:rFonts w:ascii="宋体" w:hAnsi="宋体"/>
        </w:rPr>
      </w:pPr>
    </w:p>
    <w:p>
      <w:pPr>
        <w:pStyle w:val="178"/>
        <w:spacing w:before="0" w:beforeLines="0"/>
        <w:ind w:firstLine="480"/>
        <w:rPr>
          <w:rFonts w:ascii="宋体" w:hAnsi="宋体"/>
        </w:rPr>
      </w:pPr>
    </w:p>
    <w:p>
      <w:pPr>
        <w:pStyle w:val="178"/>
        <w:spacing w:before="0" w:beforeLines="0"/>
        <w:ind w:firstLine="480"/>
        <w:rPr>
          <w:rFonts w:ascii="宋体" w:hAnsi="宋体"/>
        </w:rPr>
      </w:pPr>
    </w:p>
    <w:p>
      <w:pPr>
        <w:pStyle w:val="180"/>
        <w:tabs>
          <w:tab w:val="left" w:pos="400"/>
          <w:tab w:val="center" w:pos="4394"/>
        </w:tabs>
      </w:pPr>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7</w:t>
      </w:r>
      <w:r>
        <w:fldChar w:fldCharType="end"/>
      </w:r>
      <w:r>
        <w:t xml:space="preserve">  </w:t>
      </w:r>
      <w:r>
        <w:rPr>
          <w:rFonts w:eastAsia="宋体"/>
        </w:rPr>
        <w:t>2019</w:t>
      </w:r>
      <w:r>
        <w:t>-</w:t>
      </w:r>
      <w:r>
        <w:rPr>
          <w:rFonts w:eastAsia="宋体"/>
        </w:rPr>
        <w:t>2021</w:t>
      </w:r>
      <w:r>
        <w:t>届毕业生</w:t>
      </w:r>
      <w:r>
        <w:rPr>
          <w:rFonts w:hint="eastAsia"/>
        </w:rPr>
        <w:t>升学情况分布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数据来源：1.2019届数据来自《荆楚理工学院20</w:t>
      </w:r>
      <w:r>
        <w:rPr>
          <w:color w:val="0F6FC6" w:themeColor="accent5"/>
          <w14:textFill>
            <w14:solidFill>
              <w14:schemeClr w14:val="accent5"/>
            </w14:solidFill>
          </w14:textFill>
        </w:rPr>
        <w:t>19</w:t>
      </w:r>
      <w:r>
        <w:rPr>
          <w:rFonts w:hint="eastAsia"/>
          <w:color w:val="0F6FC6" w:themeColor="accent5"/>
          <w14:textFill>
            <w14:solidFill>
              <w14:schemeClr w14:val="accent5"/>
            </w14:solidFill>
          </w14:textFill>
        </w:rPr>
        <w:t>届毕业生就业质量年度报告》；</w:t>
      </w:r>
    </w:p>
    <w:p>
      <w:pPr>
        <w:pStyle w:val="118"/>
        <w:ind w:firstLine="1260" w:firstLineChars="7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2</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w:t>
      </w:r>
      <w:r>
        <w:rPr>
          <w:color w:val="0F6FC6" w:themeColor="accent5"/>
          <w14:textFill>
            <w14:solidFill>
              <w14:schemeClr w14:val="accent5"/>
            </w14:solidFill>
          </w14:textFill>
        </w:rPr>
        <w:t>3</w:t>
      </w:r>
      <w:r>
        <w:rPr>
          <w:rFonts w:hint="eastAsia"/>
          <w:color w:val="0F6FC6" w:themeColor="accent5"/>
          <w14:textFill>
            <w14:solidFill>
              <w14:schemeClr w14:val="accent5"/>
            </w14:solidFill>
          </w14:textFill>
        </w:rPr>
        <w:t>.2021届数据来自湖北省高校毕业生就业办公系统。</w:t>
      </w:r>
    </w:p>
    <w:p>
      <w:pPr>
        <w:pStyle w:val="118"/>
        <w:ind w:firstLine="360"/>
        <w:rPr>
          <w:color w:val="0F6FC6" w:themeColor="accent5"/>
          <w14:textFill>
            <w14:solidFill>
              <w14:schemeClr w14:val="accent5"/>
            </w14:solidFill>
          </w14:textFill>
        </w:rPr>
      </w:pPr>
    </w:p>
    <w:p>
      <w:pPr>
        <w:pStyle w:val="118"/>
        <w:ind w:firstLine="360"/>
        <w:rPr>
          <w:color w:val="0F6FC6" w:themeColor="accent5"/>
          <w14:textFill>
            <w14:solidFill>
              <w14:schemeClr w14:val="accent5"/>
            </w14:solidFill>
          </w14:textFill>
        </w:rPr>
      </w:pPr>
    </w:p>
    <w:p>
      <w:pPr>
        <w:pStyle w:val="118"/>
        <w:ind w:firstLine="360"/>
        <w:rPr>
          <w:color w:val="0F6FC6" w:themeColor="accent5"/>
          <w14:textFill>
            <w14:solidFill>
              <w14:schemeClr w14:val="accent5"/>
            </w14:solidFill>
          </w14:textFill>
        </w:rPr>
      </w:pPr>
    </w:p>
    <w:p>
      <w:pPr>
        <w:pStyle w:val="141"/>
        <w:spacing w:after="0" w:afterLines="0"/>
        <w:rPr>
          <w:color w:val="0F6FC6" w:themeColor="accent5"/>
          <w14:textFill>
            <w14:solidFill>
              <w14:schemeClr w14:val="accent5"/>
            </w14:solidFill>
          </w14:textFill>
        </w:rPr>
      </w:pPr>
      <w:bookmarkStart w:id="287" w:name="_Toc92706760"/>
      <w:r>
        <w:rPr>
          <w:rFonts w:hint="eastAsia"/>
          <w:color w:val="0F6FC6" w:themeColor="accent5"/>
          <w14:textFill>
            <w14:solidFill>
              <w14:schemeClr w14:val="accent5"/>
            </w14:solidFill>
          </w14:textFill>
        </w:rPr>
        <w:t>七</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近三年专业对口度</w:t>
      </w:r>
      <w:r>
        <w:rPr>
          <w:color w:val="0F6FC6" w:themeColor="accent5"/>
          <w14:textFill>
            <w14:solidFill>
              <w14:schemeClr w14:val="accent5"/>
            </w14:solidFill>
          </w14:textFill>
        </w:rPr>
        <w:t>变化趋势</w:t>
      </w:r>
      <w:bookmarkEnd w:id="287"/>
    </w:p>
    <w:p>
      <w:pPr>
        <w:pStyle w:val="178"/>
        <w:spacing w:before="0" w:beforeLines="0"/>
        <w:ind w:firstLine="480"/>
      </w:pPr>
      <w:r>
        <w:t>学校近三届毕业生</w:t>
      </w:r>
      <w:r>
        <w:rPr>
          <w:rFonts w:hint="eastAsia"/>
        </w:rPr>
        <w:t>专业对口度</w:t>
      </w:r>
      <w:r>
        <w:rPr>
          <w:color w:val="000000" w:themeColor="text1"/>
          <w:szCs w:val="21"/>
          <w14:textFill>
            <w14:solidFill>
              <w14:schemeClr w14:val="tx1"/>
            </w14:solidFill>
          </w14:textFill>
        </w:rPr>
        <w:t>均</w:t>
      </w:r>
      <w:r>
        <w:t>在74.51%及以上</w:t>
      </w:r>
      <w:r>
        <w:rPr>
          <w:rFonts w:hint="eastAsia"/>
        </w:rPr>
        <w:t>。</w:t>
      </w:r>
      <w:r>
        <w:t>其中，2021届</w:t>
      </w:r>
      <w:r>
        <w:rPr>
          <w:rFonts w:hint="eastAsia"/>
        </w:rPr>
        <w:t>本科毕业生专业对口度为</w:t>
      </w:r>
      <w:r>
        <w:t>72.70%</w:t>
      </w:r>
      <w:r>
        <w:rPr>
          <w:rFonts w:hint="eastAsia"/>
        </w:rPr>
        <w:t>，较</w:t>
      </w:r>
      <w:r>
        <w:t>2020</w:t>
      </w:r>
      <w:r>
        <w:rPr>
          <w:rFonts w:hint="eastAsia"/>
        </w:rPr>
        <w:t>届减少</w:t>
      </w:r>
      <w:r>
        <w:t>1.76</w:t>
      </w:r>
      <w:r>
        <w:rPr>
          <w:rFonts w:hint="eastAsia"/>
        </w:rPr>
        <w:t>个百分点；2</w:t>
      </w:r>
      <w:r>
        <w:t>021</w:t>
      </w:r>
      <w:r>
        <w:rPr>
          <w:rFonts w:hint="eastAsia"/>
        </w:rPr>
        <w:t>届专科毕业生专业对口度为</w:t>
      </w:r>
      <w:r>
        <w:t>83.48%</w:t>
      </w:r>
      <w:r>
        <w:rPr>
          <w:rFonts w:hint="eastAsia"/>
        </w:rPr>
        <w:t>，较2</w:t>
      </w:r>
      <w:r>
        <w:t>020</w:t>
      </w:r>
      <w:r>
        <w:rPr>
          <w:rFonts w:hint="eastAsia"/>
        </w:rPr>
        <w:t>届减少</w:t>
      </w:r>
      <w:r>
        <w:t>2.03</w:t>
      </w:r>
      <w:r>
        <w:rPr>
          <w:rFonts w:hint="eastAsia"/>
        </w:rPr>
        <w:t>个百分点。</w:t>
      </w:r>
    </w:p>
    <w:p>
      <w:pPr>
        <w:pStyle w:val="118"/>
        <w:ind w:firstLine="360"/>
        <w:jc w:val="center"/>
        <w:rPr>
          <w:color w:val="0F6FC6" w:themeColor="accent5"/>
          <w:lang w:val="en-US"/>
          <w14:textFill>
            <w14:solidFill>
              <w14:schemeClr w14:val="accent5"/>
            </w14:solidFill>
          </w14:textFill>
        </w:rPr>
      </w:pPr>
      <w:r>
        <w:rPr>
          <w:szCs w:val="21"/>
        </w:rPr>
        <w:drawing>
          <wp:anchor distT="0" distB="0" distL="114300" distR="114300" simplePos="0" relativeHeight="251699200" behindDoc="0" locked="0" layoutInCell="1" allowOverlap="1">
            <wp:simplePos x="0" y="0"/>
            <wp:positionH relativeFrom="margin">
              <wp:posOffset>76200</wp:posOffset>
            </wp:positionH>
            <wp:positionV relativeFrom="paragraph">
              <wp:posOffset>157480</wp:posOffset>
            </wp:positionV>
            <wp:extent cx="5324475" cy="1743075"/>
            <wp:effectExtent l="0" t="0" r="0" b="0"/>
            <wp:wrapNone/>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pPr>
        <w:pStyle w:val="118"/>
        <w:ind w:firstLine="360"/>
        <w:jc w:val="center"/>
        <w:rPr>
          <w:color w:val="0F6FC6" w:themeColor="accent5"/>
          <w:lang w:val="en-US"/>
          <w14:textFill>
            <w14:solidFill>
              <w14:schemeClr w14:val="accent5"/>
            </w14:solidFill>
          </w14:textFill>
        </w:rPr>
      </w:pPr>
    </w:p>
    <w:p>
      <w:pPr>
        <w:pStyle w:val="118"/>
        <w:ind w:firstLine="360"/>
        <w:jc w:val="center"/>
        <w:rPr>
          <w:color w:val="0F6FC6" w:themeColor="accent5"/>
          <w:lang w:val="en-US"/>
          <w14:textFill>
            <w14:solidFill>
              <w14:schemeClr w14:val="accent5"/>
            </w14:solidFill>
          </w14:textFill>
        </w:rPr>
      </w:pPr>
    </w:p>
    <w:p>
      <w:pPr>
        <w:pStyle w:val="118"/>
        <w:ind w:firstLine="360"/>
        <w:jc w:val="center"/>
        <w:rPr>
          <w:color w:val="0F6FC6" w:themeColor="accent5"/>
          <w:lang w:val="en-US"/>
          <w14:textFill>
            <w14:solidFill>
              <w14:schemeClr w14:val="accent5"/>
            </w14:solidFill>
          </w14:textFill>
        </w:rPr>
      </w:pPr>
    </w:p>
    <w:p>
      <w:pPr>
        <w:pStyle w:val="118"/>
        <w:ind w:firstLine="361"/>
        <w:rPr>
          <w:b/>
          <w:color w:val="0F6FC6" w:themeColor="accent5"/>
          <w:lang w:val="en-US"/>
          <w14:textFill>
            <w14:solidFill>
              <w14:schemeClr w14:val="accent5"/>
            </w14:solidFill>
          </w14:textFill>
        </w:rPr>
      </w:pPr>
    </w:p>
    <w:p>
      <w:pPr>
        <w:pStyle w:val="118"/>
        <w:ind w:firstLine="361"/>
        <w:rPr>
          <w:b/>
          <w:color w:val="0F6FC6" w:themeColor="accent5"/>
          <w:lang w:val="en-US"/>
          <w14:textFill>
            <w14:solidFill>
              <w14:schemeClr w14:val="accent5"/>
            </w14:solidFill>
          </w14:textFill>
        </w:rPr>
      </w:pPr>
    </w:p>
    <w:p>
      <w:pPr>
        <w:pStyle w:val="118"/>
        <w:ind w:firstLine="361"/>
        <w:rPr>
          <w:b/>
          <w:color w:val="0F6FC6" w:themeColor="accent5"/>
          <w:lang w:val="en-US"/>
          <w14:textFill>
            <w14:solidFill>
              <w14:schemeClr w14:val="accent5"/>
            </w14:solidFill>
          </w14:textFill>
        </w:rPr>
      </w:pPr>
    </w:p>
    <w:p>
      <w:pPr>
        <w:pStyle w:val="118"/>
        <w:ind w:firstLine="361"/>
        <w:rPr>
          <w:b/>
          <w:color w:val="0F6FC6" w:themeColor="accent5"/>
          <w:lang w:val="en-US"/>
          <w14:textFill>
            <w14:solidFill>
              <w14:schemeClr w14:val="accent5"/>
            </w14:solidFill>
          </w14:textFill>
        </w:rPr>
      </w:pPr>
    </w:p>
    <w:p>
      <w:pPr>
        <w:pStyle w:val="118"/>
        <w:ind w:firstLine="361"/>
        <w:rPr>
          <w:b/>
          <w:color w:val="0F6FC6" w:themeColor="accent5"/>
          <w:lang w:val="en-US"/>
          <w14:textFill>
            <w14:solidFill>
              <w14:schemeClr w14:val="accent5"/>
            </w14:solidFill>
          </w14:textFill>
        </w:rPr>
      </w:pPr>
    </w:p>
    <w:p>
      <w:pPr>
        <w:pStyle w:val="118"/>
        <w:ind w:firstLine="361"/>
        <w:rPr>
          <w:b/>
          <w:color w:val="0F6FC6" w:themeColor="accent5"/>
          <w:lang w:val="en-US"/>
          <w14:textFill>
            <w14:solidFill>
              <w14:schemeClr w14:val="accent5"/>
            </w14:solidFill>
          </w14:textFill>
        </w:rPr>
      </w:pPr>
    </w:p>
    <w:p>
      <w:pPr>
        <w:pStyle w:val="180"/>
        <w:tabs>
          <w:tab w:val="left" w:pos="400"/>
          <w:tab w:val="center" w:pos="4394"/>
        </w:tabs>
      </w:pPr>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8</w:t>
      </w:r>
      <w:r>
        <w:fldChar w:fldCharType="end"/>
      </w:r>
      <w:r>
        <w:t xml:space="preserve">  </w:t>
      </w:r>
      <w:r>
        <w:rPr>
          <w:rFonts w:eastAsia="宋体"/>
        </w:rPr>
        <w:t>2019</w:t>
      </w:r>
      <w:r>
        <w:t>-</w:t>
      </w:r>
      <w:r>
        <w:rPr>
          <w:rFonts w:eastAsia="宋体"/>
        </w:rPr>
        <w:t>2021</w:t>
      </w:r>
      <w:r>
        <w:t>届毕业生</w:t>
      </w:r>
      <w:r>
        <w:rPr>
          <w:rFonts w:hint="eastAsia"/>
        </w:rPr>
        <w:t>专业对口度分布</w:t>
      </w:r>
    </w:p>
    <w:p>
      <w:pPr>
        <w:pStyle w:val="118"/>
        <w:ind w:firstLine="379" w:firstLineChars="211"/>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数据来源：1.2019届数据来自《荆楚理工学院20</w:t>
      </w:r>
      <w:r>
        <w:rPr>
          <w:color w:val="0F6FC6" w:themeColor="accent5"/>
          <w14:textFill>
            <w14:solidFill>
              <w14:schemeClr w14:val="accent5"/>
            </w14:solidFill>
          </w14:textFill>
        </w:rPr>
        <w:t>19</w:t>
      </w:r>
      <w:r>
        <w:rPr>
          <w:rFonts w:hint="eastAsia"/>
          <w:color w:val="0F6FC6" w:themeColor="accent5"/>
          <w14:textFill>
            <w14:solidFill>
              <w14:schemeClr w14:val="accent5"/>
            </w14:solidFill>
          </w14:textFill>
        </w:rPr>
        <w:t>届毕业生就业质量年度报告》；</w:t>
      </w:r>
    </w:p>
    <w:p>
      <w:pPr>
        <w:pStyle w:val="118"/>
        <w:ind w:firstLine="1260" w:firstLineChars="7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2</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w:t>
      </w:r>
      <w:r>
        <w:rPr>
          <w:color w:val="0F6FC6" w:themeColor="accent5"/>
          <w14:textFill>
            <w14:solidFill>
              <w14:schemeClr w14:val="accent5"/>
            </w14:solidFill>
          </w14:textFill>
        </w:rPr>
        <w:t>3</w:t>
      </w:r>
      <w:r>
        <w:rPr>
          <w:rFonts w:hint="eastAsia"/>
          <w:color w:val="0F6FC6" w:themeColor="accent5"/>
          <w14:textFill>
            <w14:solidFill>
              <w14:schemeClr w14:val="accent5"/>
            </w14:solidFill>
          </w14:textFill>
        </w:rPr>
        <w:t>.2021届数据来自第三方机构新锦成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1"/>
        <w:spacing w:after="0" w:afterLines="0"/>
        <w:rPr>
          <w:color w:val="0F6FC6" w:themeColor="accent5"/>
          <w14:textFill>
            <w14:solidFill>
              <w14:schemeClr w14:val="accent5"/>
            </w14:solidFill>
          </w14:textFill>
        </w:rPr>
      </w:pPr>
      <w:bookmarkStart w:id="288" w:name="_Toc92706761"/>
      <w:r>
        <w:rPr>
          <w:rFonts w:hint="eastAsia"/>
          <w:color w:val="0F6FC6" w:themeColor="accent5"/>
          <w14:textFill>
            <w14:solidFill>
              <w14:schemeClr w14:val="accent5"/>
            </w14:solidFill>
          </w14:textFill>
        </w:rPr>
        <w:t>八</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近三年工作满意度</w:t>
      </w:r>
      <w:r>
        <w:rPr>
          <w:color w:val="0F6FC6" w:themeColor="accent5"/>
          <w14:textFill>
            <w14:solidFill>
              <w14:schemeClr w14:val="accent5"/>
            </w14:solidFill>
          </w14:textFill>
        </w:rPr>
        <w:t>变化趋势</w:t>
      </w:r>
      <w:bookmarkEnd w:id="288"/>
    </w:p>
    <w:p>
      <w:pPr>
        <w:pStyle w:val="178"/>
        <w:spacing w:before="0" w:beforeLines="0"/>
        <w:ind w:firstLine="480"/>
      </w:pPr>
      <w:r>
        <w:t>学校近三届毕业生</w:t>
      </w:r>
      <w:r>
        <w:rPr>
          <w:rFonts w:hint="eastAsia"/>
        </w:rPr>
        <w:t>工作满意度</w:t>
      </w:r>
      <w:r>
        <w:rPr>
          <w:color w:val="000000" w:themeColor="text1"/>
          <w:szCs w:val="21"/>
          <w14:textFill>
            <w14:solidFill>
              <w14:schemeClr w14:val="tx1"/>
            </w14:solidFill>
          </w14:textFill>
        </w:rPr>
        <w:t>均</w:t>
      </w:r>
      <w:r>
        <w:t>在92.18%及以上</w:t>
      </w:r>
      <w:r>
        <w:rPr>
          <w:rFonts w:hint="eastAsia"/>
        </w:rPr>
        <w:t>。</w:t>
      </w:r>
      <w:r>
        <w:t>其中，2021届</w:t>
      </w:r>
      <w:r>
        <w:rPr>
          <w:rFonts w:hint="eastAsia"/>
        </w:rPr>
        <w:t>本科毕业生工作满意度为</w:t>
      </w:r>
      <w:r>
        <w:t>92.31%</w:t>
      </w:r>
      <w:r>
        <w:rPr>
          <w:rFonts w:hint="eastAsia"/>
        </w:rPr>
        <w:t>，较</w:t>
      </w:r>
      <w:r>
        <w:t>2020</w:t>
      </w:r>
      <w:r>
        <w:rPr>
          <w:rFonts w:hint="eastAsia"/>
        </w:rPr>
        <w:t>届减少</w:t>
      </w:r>
      <w:r>
        <w:t>5.33</w:t>
      </w:r>
      <w:r>
        <w:rPr>
          <w:rFonts w:hint="eastAsia"/>
        </w:rPr>
        <w:t>个百分点；2</w:t>
      </w:r>
      <w:r>
        <w:t>021</w:t>
      </w:r>
      <w:r>
        <w:rPr>
          <w:rFonts w:hint="eastAsia"/>
        </w:rPr>
        <w:t>届专科毕业生工作满意度为</w:t>
      </w:r>
      <w:r>
        <w:t>91.74%</w:t>
      </w:r>
      <w:r>
        <w:rPr>
          <w:rFonts w:hint="eastAsia"/>
        </w:rPr>
        <w:t>，较2</w:t>
      </w:r>
      <w:r>
        <w:t>020</w:t>
      </w:r>
      <w:r>
        <w:rPr>
          <w:rFonts w:hint="eastAsia"/>
        </w:rPr>
        <w:t>届减少</w:t>
      </w:r>
      <w:r>
        <w:t>6.81</w:t>
      </w:r>
      <w:r>
        <w:rPr>
          <w:rFonts w:hint="eastAsia"/>
        </w:rPr>
        <w:t>个百分点。</w:t>
      </w:r>
    </w:p>
    <w:p>
      <w:pPr>
        <w:pStyle w:val="178"/>
        <w:spacing w:before="0" w:beforeLines="0"/>
        <w:ind w:firstLine="480"/>
      </w:pPr>
      <w:r>
        <w:rPr>
          <w:rFonts w:cs="宋体"/>
          <w:szCs w:val="21"/>
        </w:rPr>
        <w:drawing>
          <wp:anchor distT="0" distB="0" distL="114300" distR="114300" simplePos="0" relativeHeight="251700224" behindDoc="0" locked="0" layoutInCell="1" allowOverlap="1">
            <wp:simplePos x="0" y="0"/>
            <wp:positionH relativeFrom="margin">
              <wp:posOffset>-46990</wp:posOffset>
            </wp:positionH>
            <wp:positionV relativeFrom="paragraph">
              <wp:posOffset>26035</wp:posOffset>
            </wp:positionV>
            <wp:extent cx="5324475" cy="1743075"/>
            <wp:effectExtent l="0" t="0" r="0" b="0"/>
            <wp:wrapNone/>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pPr>
        <w:pStyle w:val="178"/>
        <w:spacing w:before="0" w:beforeLines="0"/>
        <w:ind w:firstLine="480"/>
      </w:pPr>
    </w:p>
    <w:p>
      <w:pPr>
        <w:pStyle w:val="178"/>
        <w:spacing w:before="0" w:beforeLines="0"/>
        <w:ind w:firstLine="480"/>
      </w:pPr>
    </w:p>
    <w:p>
      <w:pPr>
        <w:pStyle w:val="178"/>
        <w:spacing w:before="0" w:beforeLines="0"/>
        <w:ind w:firstLine="480"/>
      </w:pPr>
    </w:p>
    <w:p>
      <w:pPr>
        <w:pStyle w:val="178"/>
        <w:spacing w:before="0" w:beforeLines="0"/>
        <w:ind w:firstLine="480"/>
      </w:pPr>
    </w:p>
    <w:p>
      <w:pPr>
        <w:pStyle w:val="178"/>
        <w:spacing w:before="0" w:beforeLines="0"/>
        <w:ind w:firstLine="480"/>
      </w:pPr>
    </w:p>
    <w:p>
      <w:pPr>
        <w:pStyle w:val="180"/>
        <w:tabs>
          <w:tab w:val="left" w:pos="400"/>
          <w:tab w:val="center" w:pos="4394"/>
        </w:tabs>
      </w:pPr>
      <w:r>
        <w:rPr>
          <w:rFonts w:hint="eastAsia"/>
        </w:rPr>
        <w:t>图</w:t>
      </w:r>
      <w:r>
        <w:rPr>
          <w:rFonts w:eastAsia="宋体"/>
        </w:rPr>
        <w:t>5</w:t>
      </w:r>
      <w:r>
        <w:rPr>
          <w:rFonts w:hint="eastAsia"/>
        </w:rPr>
        <w:t xml:space="preserve">- </w:t>
      </w:r>
      <w:r>
        <w:fldChar w:fldCharType="begin"/>
      </w:r>
      <w:r>
        <w:instrText xml:space="preserve"> </w:instrText>
      </w:r>
      <w:r>
        <w:rPr>
          <w:rFonts w:hint="eastAsia"/>
        </w:rPr>
        <w:instrText xml:space="preserve">SEQ 图4- \* ARABIC</w:instrText>
      </w:r>
      <w:r>
        <w:instrText xml:space="preserve"> </w:instrText>
      </w:r>
      <w:r>
        <w:fldChar w:fldCharType="separate"/>
      </w:r>
      <w:r>
        <w:t>9</w:t>
      </w:r>
      <w:r>
        <w:fldChar w:fldCharType="end"/>
      </w:r>
      <w:r>
        <w:t xml:space="preserve">  </w:t>
      </w:r>
      <w:r>
        <w:rPr>
          <w:rFonts w:eastAsia="宋体"/>
        </w:rPr>
        <w:t>2019</w:t>
      </w:r>
      <w:r>
        <w:t>-</w:t>
      </w:r>
      <w:r>
        <w:rPr>
          <w:rFonts w:eastAsia="宋体"/>
        </w:rPr>
        <w:t>2021</w:t>
      </w:r>
      <w:r>
        <w:t>届毕业生</w:t>
      </w:r>
      <w:r>
        <w:rPr>
          <w:rFonts w:hint="eastAsia"/>
        </w:rPr>
        <w:t>工作满意度分布</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数据来源：1.2019届数据来自《荆楚理工学院20</w:t>
      </w:r>
      <w:r>
        <w:rPr>
          <w:color w:val="0F6FC6" w:themeColor="accent5"/>
          <w14:textFill>
            <w14:solidFill>
              <w14:schemeClr w14:val="accent5"/>
            </w14:solidFill>
          </w14:textFill>
        </w:rPr>
        <w:t>19</w:t>
      </w:r>
      <w:r>
        <w:rPr>
          <w:rFonts w:hint="eastAsia"/>
          <w:color w:val="0F6FC6" w:themeColor="accent5"/>
          <w14:textFill>
            <w14:solidFill>
              <w14:schemeClr w14:val="accent5"/>
            </w14:solidFill>
          </w14:textFill>
        </w:rPr>
        <w:t>届毕业生就业质量年度报告》；</w:t>
      </w:r>
    </w:p>
    <w:p>
      <w:pPr>
        <w:pStyle w:val="118"/>
        <w:ind w:firstLine="1260" w:firstLineChars="70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2</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2020届数据来自《荆楚理工学院2020届毕业生就业质量年度报告》；</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          </w:t>
      </w:r>
      <w:r>
        <w:rPr>
          <w:color w:val="0F6FC6" w:themeColor="accent5"/>
          <w14:textFill>
            <w14:solidFill>
              <w14:schemeClr w14:val="accent5"/>
            </w14:solidFill>
          </w14:textFill>
        </w:rPr>
        <w:t>3</w:t>
      </w:r>
      <w:r>
        <w:rPr>
          <w:rFonts w:hint="eastAsia"/>
          <w:color w:val="0F6FC6" w:themeColor="accent5"/>
          <w14:textFill>
            <w14:solidFill>
              <w14:schemeClr w14:val="accent5"/>
            </w14:solidFill>
          </w14:textFill>
        </w:rPr>
        <w:t>.2021届数据来自第三方机构新锦成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18"/>
        <w:ind w:firstLine="0" w:firstLineChars="0"/>
        <w:rPr>
          <w:rFonts w:cstheme="minorBidi"/>
          <w:caps/>
          <w:color w:val="000000"/>
        </w:rPr>
      </w:pPr>
    </w:p>
    <w:p>
      <w:pPr>
        <w:pStyle w:val="220"/>
        <w:ind w:firstLine="723"/>
      </w:pPr>
      <w:r>
        <w:rPr>
          <w:b/>
          <w:sz w:val="36"/>
        </w:rPr>
        <w:drawing>
          <wp:anchor distT="0" distB="0" distL="114300" distR="114300" simplePos="0" relativeHeight="251671552" behindDoc="1" locked="0" layoutInCell="1" allowOverlap="1">
            <wp:simplePos x="0" y="0"/>
            <wp:positionH relativeFrom="page">
              <wp:posOffset>1905</wp:posOffset>
            </wp:positionH>
            <wp:positionV relativeFrom="paragraph">
              <wp:posOffset>-929640</wp:posOffset>
            </wp:positionV>
            <wp:extent cx="7545070" cy="10239375"/>
            <wp:effectExtent l="0" t="0" r="0" b="9525"/>
            <wp:wrapNone/>
            <wp:docPr id="1401" name="图片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图片 140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5070" cy="10239375"/>
                    </a:xfrm>
                    <a:prstGeom prst="rect">
                      <a:avLst/>
                    </a:prstGeom>
                  </pic:spPr>
                </pic:pic>
              </a:graphicData>
            </a:graphic>
          </wp:anchor>
        </w:drawing>
      </w:r>
    </w:p>
    <w:p>
      <w:pPr>
        <w:pStyle w:val="118"/>
        <w:spacing w:after="156" w:afterLines="50"/>
        <w:ind w:firstLine="360"/>
        <w:rPr>
          <w:color w:val="0F6FC6" w:themeColor="accent1"/>
          <w14:textFill>
            <w14:solidFill>
              <w14:schemeClr w14:val="accent1"/>
            </w14:solidFill>
          </w14:textFill>
        </w:rPr>
      </w:pPr>
    </w:p>
    <w:bookmarkEnd w:id="160"/>
    <w:bookmarkEnd w:id="161"/>
    <w:bookmarkEnd w:id="162"/>
    <w:bookmarkEnd w:id="163"/>
    <w:bookmarkEnd w:id="164"/>
    <w:bookmarkEnd w:id="165"/>
    <w:bookmarkEnd w:id="166"/>
    <w:bookmarkEnd w:id="167"/>
    <w:bookmarkEnd w:id="168"/>
    <w:bookmarkEnd w:id="169"/>
    <w:bookmarkEnd w:id="170"/>
    <w:p>
      <w:pPr>
        <w:rPr>
          <w:rFonts w:ascii="Times New Roman" w:hAnsi="Times New Roman" w:cstheme="minorBidi"/>
          <w:caps/>
          <w:color w:val="000000"/>
        </w:rPr>
      </w:pPr>
    </w:p>
    <w:p>
      <w:pPr>
        <w:pStyle w:val="135"/>
        <w:spacing w:after="120"/>
        <w:ind w:firstLine="480"/>
        <w:rPr>
          <w:caps/>
        </w:rPr>
      </w:pPr>
      <w:r>
        <w:pict>
          <v:shape id="文本框 52" o:spid="_x0000_s1026" o:spt="202" type="#_x0000_t202" style="position:absolute;left:0pt;margin-left:0.3pt;margin-top:38.15pt;height:184.5pt;width:595.3pt;mso-position-horizontal-relative:pag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exzQIAAMUFAAAOAAAAZHJzL2Uyb0RvYy54bWysVEtu2zAQ3RfoHQjuFX1M2ZYQOUgsuyiQ&#10;foC0B6AlyiIqkSpJR06LbtsbdNVN9z1XztEh5V+STdGWC4LkDN/83sz5xbZt0C1TmkuR4fAswIiJ&#10;QpZcrDP8/t3Sm2KkDRUlbaRgGb5jGl/Mnj8777uURbKWTckUAhCh077LcG1Ml/q+LmrWUn0mOyZA&#10;WEnVUgNXtfZLRXtAbxs/CoKx30tVdkoWTGt4zQchnjn8qmKFeVNVmhnUZBh8M25Xbl/Z3Z+d03St&#10;aFfzYucG/QsvWsoFGD1A5dRQtFH8CVTLCyW1rMxZIVtfVhUvmIsBogmDR9Hc1LRjLhZIju4OadL/&#10;D7Z4fftWIV5meEowErSFGt1//3b/49f9z68ojmyC+k6noHfTgabZXsktFNoFq7trWXzQSMh5TcWa&#10;XSol+5rREhwM7U//5OuAoy3Iqn8lSzBEN0Y6oG2lWps9yAcCdCjU3aE4bGtQAY+TeByMQhAVIItG&#10;ZBTGrnw+TfffO6XNCyZbZA8ZVlB9B09vr7Wx7tB0r2KtCbnkTeMY0IgHD6A4vIBx+Gpl1g1X0M9J&#10;kCymiynxSDReeCTIc+9yOSfeeBlO4nyUz+d5+MXaDUla87JkwprZkyskf1a8Hc0HWhzopWXDSwtn&#10;XdJqvZo3Ct1SIPfSLZd0kBzV/IduuCRALI9CCiMSXEWJtxxPJx5ZkthLJsHUC8LkKhkHJCH58mFI&#10;11ywfw8J9RlO4ige2HR0+lFsgVtPY6Npyw2Mj4a3wN+DEk0tBxeidKU1lDfD+SQV1v1jKqDc+0I7&#10;xlqSDnQ129XWdUeU7DthJcs74LCSwDBgI8w+ONRSfcKohzmSYf1xQxXDqHkpoA+SkBA7eNyFxJMI&#10;LupUsjqVUFEAVIYNRsNxboZhtekUX9dgaeg8IS+hdyruWG2bbPBq13EwK1xwu7lmh9Hp3Wkdp+/s&#10;NwAAAP//AwBQSwMEFAAGAAgAAAAhAPtM7L/gAAAADQEAAA8AAABkcnMvZG93bnJldi54bWxMT8tO&#10;wzAQvCPxD9YicaN22jTQNJsKUXEFtTwkbm68TSLidRS7Tfh73BNcVhrNY2eKzWQ7cabBt44RkpkC&#10;QVw503KN8P72fPcAwgfNRneOCeGHPGzK66tC58aNvKPzPtQihrDPNUITQp9L6auGrPYz1xNH7ugG&#10;q0OEQy3NoMcYbjs5VyqTVrccPzS6p6eGqu/9ySJ8vBy/PlP1Wm/tsh/dpCTblUS8vZm263ge1yAC&#10;TeHPAZcNsT+UsdjBndh40SFkUYdwny1AXNhklcxBHBDSdLkAWRby/4ryFwAA//8DAFBLAQItABQA&#10;BgAIAAAAIQC2gziS/gAAAOEBAAATAAAAAAAAAAAAAAAAAAAAAABbQ29udGVudF9UeXBlc10ueG1s&#10;UEsBAi0AFAAGAAgAAAAhADj9If/WAAAAlAEAAAsAAAAAAAAAAAAAAAAALwEAAF9yZWxzLy5yZWxz&#10;UEsBAi0AFAAGAAgAAAAhAD0BJ7HNAgAAxQUAAA4AAAAAAAAAAAAAAAAALgIAAGRycy9lMm9Eb2Mu&#10;eG1sUEsBAi0AFAAGAAgAAAAhAPtM7L/gAAAADQEAAA8AAAAAAAAAAAAAAAAAJwUAAGRycy9kb3du&#10;cmV2LnhtbFBLBQYAAAAABAAEAPMAAAA0BgAAAAA=&#10;">
            <v:path/>
            <v:fill on="f" focussize="0,0"/>
            <v:stroke on="f" joinstyle="miter"/>
            <v:imagedata o:title=""/>
            <o:lock v:ext="edit"/>
            <v:textbo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第六篇</w:t>
                  </w:r>
                </w:p>
                <w:p>
                  <w:pPr>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毕业生对学校的评价</w:t>
                  </w:r>
                </w:p>
                <w:p>
                  <w:pPr>
                    <w:jc w:val="center"/>
                    <w:rPr>
                      <w:rFonts w:ascii="微软雅黑" w:hAnsi="微软雅黑" w:eastAsia="微软雅黑"/>
                      <w:b/>
                      <w:color w:val="4C659B"/>
                      <w:sz w:val="44"/>
                      <w:szCs w:val="36"/>
                    </w:rPr>
                  </w:pPr>
                </w:p>
              </w:txbxContent>
            </v:textbox>
          </v:shape>
        </w:pict>
      </w:r>
    </w:p>
    <w:p>
      <w:pPr>
        <w:pStyle w:val="118"/>
        <w:ind w:firstLine="360"/>
        <w:jc w:val="both"/>
        <w:rPr>
          <w:color w:val="0F6FC6" w:themeColor="accent5"/>
          <w14:textFill>
            <w14:solidFill>
              <w14:schemeClr w14:val="accent5"/>
            </w14:solidFill>
          </w14:textFill>
        </w:rPr>
      </w:pPr>
      <w:bookmarkStart w:id="289" w:name="_Toc487789929"/>
      <w:bookmarkStart w:id="290" w:name="_Toc487790110"/>
      <w:bookmarkStart w:id="291" w:name="_Toc496017598"/>
      <w:bookmarkStart w:id="292" w:name="_Toc17272027"/>
    </w:p>
    <w:p>
      <w:pPr>
        <w:pStyle w:val="118"/>
        <w:ind w:firstLine="360"/>
        <w:jc w:val="both"/>
        <w:rPr>
          <w:color w:val="0F6FC6" w:themeColor="accent5"/>
          <w14:textFill>
            <w14:solidFill>
              <w14:schemeClr w14:val="accent5"/>
            </w14:solidFill>
          </w14:textFill>
        </w:rPr>
      </w:pPr>
    </w:p>
    <w:bookmarkEnd w:id="289"/>
    <w:bookmarkEnd w:id="290"/>
    <w:bookmarkEnd w:id="291"/>
    <w:bookmarkEnd w:id="292"/>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293" w:name="_Toc80114342"/>
      <w:bookmarkStart w:id="294" w:name="_Toc48147202"/>
      <w:bookmarkStart w:id="295" w:name="_Toc47449757"/>
      <w:bookmarkStart w:id="296" w:name="_Toc92706762"/>
      <w:bookmarkStart w:id="297" w:name="_Toc22050328"/>
      <w:bookmarkStart w:id="298" w:name="_Toc487789930"/>
      <w:bookmarkStart w:id="299" w:name="_Toc487790111"/>
      <w:bookmarkStart w:id="300" w:name="_Toc496017599"/>
      <w:bookmarkStart w:id="301" w:name="_Toc17272028"/>
      <w:r>
        <w:rPr>
          <w:rFonts w:hint="eastAsia" w:ascii="Calibri" w:hAnsi="Calibri" w:eastAsia="黑体"/>
          <w:b/>
          <w:caps/>
          <w:color w:val="FFFFFF"/>
          <w:sz w:val="32"/>
          <w:szCs w:val="32"/>
        </w:rPr>
        <w:t>第六篇</w:t>
      </w:r>
      <w:r>
        <w:rPr>
          <w:rFonts w:ascii="Calibri" w:hAnsi="Calibri" w:eastAsia="黑体"/>
          <w:b/>
          <w:caps/>
          <w:color w:val="FFFFFF"/>
          <w:sz w:val="32"/>
          <w:szCs w:val="32"/>
        </w:rPr>
        <w:t>：</w:t>
      </w:r>
      <w:r>
        <w:rPr>
          <w:rFonts w:hint="eastAsia" w:ascii="Calibri" w:hAnsi="Calibri" w:eastAsia="黑体"/>
          <w:b/>
          <w:caps/>
          <w:color w:val="FFFFFF"/>
          <w:sz w:val="32"/>
          <w:szCs w:val="32"/>
        </w:rPr>
        <w:t>毕业生对学校的</w:t>
      </w:r>
      <w:r>
        <w:rPr>
          <w:rFonts w:ascii="Calibri" w:hAnsi="Calibri" w:eastAsia="黑体"/>
          <w:b/>
          <w:caps/>
          <w:color w:val="FFFFFF"/>
          <w:sz w:val="32"/>
          <w:szCs w:val="32"/>
        </w:rPr>
        <w:t>评价</w:t>
      </w:r>
      <w:bookmarkEnd w:id="293"/>
      <w:bookmarkEnd w:id="294"/>
      <w:bookmarkEnd w:id="295"/>
      <w:bookmarkEnd w:id="296"/>
    </w:p>
    <w:p>
      <w:pPr>
        <w:pStyle w:val="220"/>
        <w:ind w:firstLine="480"/>
      </w:pPr>
      <w:r>
        <w:rPr>
          <w:rFonts w:hint="eastAsia"/>
        </w:rPr>
        <w:t>学生是教育活动的主体，直接参与到学校教育教学计划安排的各项活动。作为高校人才培养的主要评价主体，在学校教学及就业工作上的反馈建议对学校人才培养的改进和完善有重要的参考价值。调研指标包括毕业生对人才培养的影响及毕业生对就业教育/服务的评价。</w:t>
      </w:r>
    </w:p>
    <w:p>
      <w:pPr>
        <w:pStyle w:val="141"/>
        <w:rPr>
          <w:color w:val="0F6FC6" w:themeColor="accent5"/>
          <w14:textFill>
            <w14:solidFill>
              <w14:schemeClr w14:val="accent5"/>
            </w14:solidFill>
          </w14:textFill>
        </w:rPr>
      </w:pPr>
      <w:bookmarkStart w:id="302" w:name="_Toc92706763"/>
      <w:r>
        <w:rPr>
          <w:rFonts w:hint="eastAsia"/>
          <w:color w:val="0F6FC6" w:themeColor="accent5"/>
          <w14:textFill>
            <w14:solidFill>
              <w14:schemeClr w14:val="accent5"/>
            </w14:solidFill>
          </w14:textFill>
        </w:rPr>
        <w:t>一、毕业生对人才培养的</w:t>
      </w:r>
      <w:bookmarkEnd w:id="297"/>
      <w:bookmarkEnd w:id="298"/>
      <w:bookmarkEnd w:id="299"/>
      <w:bookmarkEnd w:id="300"/>
      <w:bookmarkEnd w:id="301"/>
      <w:r>
        <w:rPr>
          <w:rFonts w:hint="eastAsia"/>
          <w:color w:val="0F6FC6" w:themeColor="accent5"/>
          <w14:textFill>
            <w14:solidFill>
              <w14:schemeClr w14:val="accent5"/>
            </w14:solidFill>
          </w14:textFill>
        </w:rPr>
        <w:t>评价</w:t>
      </w:r>
      <w:bookmarkEnd w:id="302"/>
    </w:p>
    <w:p>
      <w:pPr>
        <w:pStyle w:val="151"/>
        <w:rPr>
          <w:color w:val="0F6FC6" w:themeColor="accent5"/>
          <w14:textFill>
            <w14:solidFill>
              <w14:schemeClr w14:val="accent5"/>
            </w14:solidFill>
          </w14:textFill>
        </w:rPr>
      </w:pPr>
      <w:bookmarkStart w:id="303" w:name="_Toc22050329"/>
      <w:bookmarkStart w:id="304" w:name="_Toc496017600"/>
      <w:bookmarkStart w:id="305" w:name="_Toc487790112"/>
      <w:bookmarkStart w:id="306" w:name="_Toc17272029"/>
      <w:bookmarkStart w:id="307" w:name="_Toc487789931"/>
      <w:bookmarkStart w:id="308" w:name="_Toc92706764"/>
      <w:r>
        <w:rPr>
          <w:rFonts w:hint="eastAsia"/>
          <w:color w:val="0F6FC6" w:themeColor="accent5"/>
          <w14:textFill>
            <w14:solidFill>
              <w14:schemeClr w14:val="accent5"/>
            </w14:solidFill>
          </w14:textFill>
        </w:rPr>
        <w:t>（一）</w:t>
      </w:r>
      <w:bookmarkEnd w:id="303"/>
      <w:bookmarkEnd w:id="304"/>
      <w:bookmarkEnd w:id="305"/>
      <w:bookmarkEnd w:id="306"/>
      <w:bookmarkEnd w:id="307"/>
      <w:r>
        <w:rPr>
          <w:rFonts w:hint="eastAsia"/>
          <w:color w:val="0F6FC6" w:themeColor="accent5"/>
          <w14:textFill>
            <w14:solidFill>
              <w14:schemeClr w14:val="accent5"/>
            </w14:solidFill>
          </w14:textFill>
        </w:rPr>
        <w:t>母校满意度</w:t>
      </w:r>
      <w:bookmarkEnd w:id="308"/>
    </w:p>
    <w:p>
      <w:pPr>
        <w:pStyle w:val="143"/>
        <w:spacing w:before="312" w:beforeLines="100"/>
        <w:ind w:firstLine="480"/>
      </w:pPr>
      <w:r>
        <w:rPr>
          <w:rFonts w:hint="eastAsia" w:eastAsia="宋体"/>
        </w:rPr>
        <w:t>98.10%</w:t>
      </w:r>
      <w:r>
        <w:rPr>
          <w:rFonts w:hint="eastAsia"/>
        </w:rPr>
        <w:t>的毕业生对母校感到满意，总体满意度较高。其中，本科毕业生对</w:t>
      </w:r>
      <w:r>
        <w:t>母校的</w:t>
      </w:r>
      <w:r>
        <w:rPr>
          <w:rFonts w:hint="eastAsia"/>
        </w:rPr>
        <w:t>满意度为</w:t>
      </w:r>
      <w:r>
        <w:rPr>
          <w:rFonts w:hint="eastAsia" w:eastAsia="宋体"/>
        </w:rPr>
        <w:t>97.91%</w:t>
      </w:r>
      <w:r>
        <w:rPr>
          <w:rFonts w:hint="eastAsia"/>
        </w:rPr>
        <w:t>，</w:t>
      </w:r>
      <w:r>
        <w:t>专科毕业生对母校的满意度</w:t>
      </w:r>
      <w:r>
        <w:rPr>
          <w:rFonts w:hint="eastAsia"/>
        </w:rPr>
        <w:t>为</w:t>
      </w:r>
      <w:r>
        <w:rPr>
          <w:rFonts w:hint="eastAsia" w:eastAsia="宋体"/>
        </w:rPr>
        <w:t>98.54%</w:t>
      </w:r>
      <w:r>
        <w:rPr>
          <w:rFonts w:hint="eastAsia"/>
        </w:rPr>
        <w:t>。可见毕业生</w:t>
      </w:r>
      <w:r>
        <w:t>对</w:t>
      </w:r>
      <w:r>
        <w:rPr>
          <w:rFonts w:hint="eastAsia"/>
        </w:rPr>
        <w:t>母校人才</w:t>
      </w:r>
      <w:r>
        <w:t>培养</w:t>
      </w:r>
      <w:r>
        <w:rPr>
          <w:rFonts w:hint="eastAsia"/>
        </w:rPr>
        <w:t>过程及</w:t>
      </w:r>
      <w:r>
        <w:t>校风学风等方面均比较认同</w:t>
      </w:r>
      <w:r>
        <w:rPr>
          <w:rFonts w:hint="eastAsia"/>
        </w:rPr>
        <w:t>。</w:t>
      </w:r>
    </w:p>
    <w:p>
      <w:pPr>
        <w:pStyle w:val="143"/>
        <w:spacing w:before="312" w:beforeLines="100"/>
        <w:ind w:firstLine="0" w:firstLineChars="0"/>
        <w:jc w:val="center"/>
      </w:pPr>
      <w:r>
        <w:drawing>
          <wp:inline distT="0" distB="0" distL="0" distR="0">
            <wp:extent cx="5342890" cy="1914525"/>
            <wp:effectExtent l="0" t="0" r="0" b="0"/>
            <wp:docPr id="92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2"/>
        <w:spacing w:before="156" w:after="156"/>
        <w:rPr>
          <w:color w:val="0070C0"/>
        </w:rPr>
      </w:pPr>
      <w:bookmarkStart w:id="309" w:name="_Toc521678899"/>
      <w:r>
        <w:rPr>
          <w:rFonts w:hint="eastAsia"/>
          <w:color w:val="0070C0"/>
        </w:rPr>
        <w:t>图</w:t>
      </w:r>
      <w:r>
        <w:rPr>
          <w:color w:val="0070C0"/>
        </w:rPr>
        <w:t>6</w:t>
      </w:r>
      <w:r>
        <w:rPr>
          <w:rFonts w:hint="eastAsia"/>
          <w:color w:val="0070C0"/>
        </w:rPr>
        <w:t xml:space="preserve">- </w:t>
      </w:r>
      <w:r>
        <w:rPr>
          <w:color w:val="0070C0"/>
        </w:rPr>
        <w:fldChar w:fldCharType="begin"/>
      </w:r>
      <w:r>
        <w:rPr>
          <w:color w:val="0070C0"/>
        </w:rPr>
        <w:instrText xml:space="preserve"> </w:instrText>
      </w:r>
      <w:r>
        <w:rPr>
          <w:rFonts w:hint="eastAsia"/>
          <w:color w:val="0070C0"/>
        </w:rPr>
        <w:instrText xml:space="preserve">SEQ 图7- \* ARABIC</w:instrText>
      </w:r>
      <w:r>
        <w:rPr>
          <w:color w:val="0070C0"/>
        </w:rPr>
        <w:instrText xml:space="preserve"> </w:instrText>
      </w:r>
      <w:r>
        <w:rPr>
          <w:color w:val="0070C0"/>
        </w:rPr>
        <w:fldChar w:fldCharType="separate"/>
      </w:r>
      <w:r>
        <w:rPr>
          <w:color w:val="0070C0"/>
        </w:rPr>
        <w:t>1</w:t>
      </w:r>
      <w:r>
        <w:rPr>
          <w:color w:val="0070C0"/>
        </w:rPr>
        <w:fldChar w:fldCharType="end"/>
      </w:r>
      <w:r>
        <w:rPr>
          <w:caps/>
          <w:color w:val="0070C0"/>
        </w:rPr>
        <w:t xml:space="preserve"> </w:t>
      </w:r>
      <w:r>
        <w:rPr>
          <w:bCs w:val="0"/>
          <w:caps/>
          <w:color w:val="0070C0"/>
        </w:rPr>
        <w:t xml:space="preserve"> </w:t>
      </w:r>
      <w:r>
        <w:rPr>
          <w:color w:val="0070C0"/>
        </w:rPr>
        <w:t>2021届</w:t>
      </w:r>
      <w:r>
        <w:rPr>
          <w:rFonts w:hint="eastAsia"/>
          <w:color w:val="0070C0"/>
        </w:rPr>
        <w:t>毕业生</w:t>
      </w:r>
      <w:r>
        <w:rPr>
          <w:color w:val="0070C0"/>
        </w:rPr>
        <w:t>对母校</w:t>
      </w:r>
      <w:r>
        <w:rPr>
          <w:rFonts w:hint="eastAsia"/>
          <w:color w:val="0070C0"/>
        </w:rPr>
        <w:t>的</w:t>
      </w:r>
      <w:r>
        <w:rPr>
          <w:color w:val="0070C0"/>
        </w:rPr>
        <w:t>满意度</w:t>
      </w:r>
      <w:bookmarkEnd w:id="309"/>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注：满意度评价维度包括“很满意”、“满意”、“基本满意”、“不满意”、“很不满意”和“无法评价”，满意度为选择“很满意”、“满意”和“基本</w:t>
      </w:r>
      <w:r>
        <w:rPr>
          <w:color w:val="0F6FC6" w:themeColor="accent5"/>
          <w14:textFill>
            <w14:solidFill>
              <w14:schemeClr w14:val="accent5"/>
            </w14:solidFill>
          </w14:textFill>
        </w:rPr>
        <w:t>满意</w:t>
      </w:r>
      <w:r>
        <w:rPr>
          <w:rFonts w:hint="eastAsia"/>
          <w:color w:val="0F6FC6" w:themeColor="accent5"/>
          <w14:textFill>
            <w14:solidFill>
              <w14:schemeClr w14:val="accent5"/>
            </w14:solidFill>
          </w14:textFill>
        </w:rPr>
        <w:t>”的人数占“此题总人数—无法评价人数”的比例。</w:t>
      </w:r>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p>
      <w:pPr>
        <w:pStyle w:val="118"/>
        <w:ind w:firstLine="360"/>
        <w:jc w:val="both"/>
        <w:rPr>
          <w:color w:val="0F6FC6" w:themeColor="accent5"/>
          <w14:textFill>
            <w14:solidFill>
              <w14:schemeClr w14:val="accent5"/>
            </w14:solidFill>
          </w14:textFill>
        </w:rPr>
      </w:pPr>
    </w:p>
    <w:p>
      <w:pPr>
        <w:pStyle w:val="118"/>
        <w:ind w:firstLine="360"/>
        <w:jc w:val="both"/>
        <w:rPr>
          <w:color w:val="0F6FC6" w:themeColor="accent5"/>
          <w14:textFill>
            <w14:solidFill>
              <w14:schemeClr w14:val="accent5"/>
            </w14:solidFill>
          </w14:textFill>
        </w:rPr>
      </w:pPr>
    </w:p>
    <w:p>
      <w:pPr>
        <w:pStyle w:val="118"/>
        <w:ind w:firstLine="360"/>
        <w:jc w:val="both"/>
        <w:rPr>
          <w:color w:val="0F6FC6" w:themeColor="accent5"/>
          <w14:textFill>
            <w14:solidFill>
              <w14:schemeClr w14:val="accent5"/>
            </w14:solidFill>
          </w14:textFill>
        </w:rPr>
      </w:pPr>
    </w:p>
    <w:p>
      <w:pPr>
        <w:pStyle w:val="118"/>
        <w:ind w:firstLine="360"/>
        <w:jc w:val="both"/>
        <w:rPr>
          <w:color w:val="0F6FC6" w:themeColor="accent5"/>
          <w14:textFill>
            <w14:solidFill>
              <w14:schemeClr w14:val="accent5"/>
            </w14:solidFill>
          </w14:textFill>
        </w:rPr>
      </w:pPr>
    </w:p>
    <w:p>
      <w:pPr>
        <w:pStyle w:val="151"/>
        <w:rPr>
          <w:color w:val="0F6FC6" w:themeColor="accent5"/>
          <w14:textFill>
            <w14:solidFill>
              <w14:schemeClr w14:val="accent5"/>
            </w14:solidFill>
          </w14:textFill>
        </w:rPr>
      </w:pPr>
      <w:bookmarkStart w:id="310" w:name="_Toc17120672"/>
      <w:bookmarkStart w:id="311" w:name="_Toc17272030"/>
      <w:bookmarkStart w:id="312" w:name="_Toc22050330"/>
      <w:bookmarkStart w:id="313" w:name="_Toc92706765"/>
      <w:bookmarkStart w:id="314" w:name="_Toc16673865"/>
      <w:r>
        <w:rPr>
          <w:rFonts w:hint="eastAsia"/>
          <w:color w:val="0F6FC6" w:themeColor="accent5"/>
          <w14:textFill>
            <w14:solidFill>
              <w14:schemeClr w14:val="accent5"/>
            </w14:solidFill>
          </w14:textFill>
        </w:rPr>
        <w:t>（二）教育教学</w:t>
      </w:r>
      <w:r>
        <w:rPr>
          <w:color w:val="0F6FC6" w:themeColor="accent5"/>
          <w14:textFill>
            <w14:solidFill>
              <w14:schemeClr w14:val="accent5"/>
            </w14:solidFill>
          </w14:textFill>
        </w:rPr>
        <w:t>评价</w:t>
      </w:r>
      <w:bookmarkEnd w:id="310"/>
      <w:bookmarkEnd w:id="311"/>
      <w:bookmarkEnd w:id="312"/>
      <w:bookmarkEnd w:id="313"/>
      <w:bookmarkEnd w:id="314"/>
    </w:p>
    <w:p>
      <w:pPr>
        <w:pStyle w:val="143"/>
        <w:spacing w:before="312" w:beforeLines="100"/>
        <w:ind w:firstLine="482"/>
        <w:rPr>
          <w:rFonts w:eastAsia="宋体"/>
          <w:b/>
          <w:color w:val="0F6FC6" w:themeColor="accent5"/>
          <w14:textFill>
            <w14:solidFill>
              <w14:schemeClr w14:val="accent5"/>
            </w14:solidFill>
          </w14:textFill>
        </w:rPr>
      </w:pPr>
      <w:r>
        <w:rPr>
          <w:rFonts w:hint="eastAsia" w:eastAsia="宋体"/>
          <w:b/>
          <w:color w:val="0F6FC6" w:themeColor="accent5"/>
          <w14:textFill>
            <w14:solidFill>
              <w14:schemeClr w14:val="accent5"/>
            </w14:solidFill>
          </w14:textFill>
        </w:rPr>
        <w:t>1.对所学</w:t>
      </w:r>
      <w:r>
        <w:rPr>
          <w:rFonts w:eastAsia="宋体"/>
          <w:b/>
          <w:color w:val="0F6FC6" w:themeColor="accent5"/>
          <w14:textFill>
            <w14:solidFill>
              <w14:schemeClr w14:val="accent5"/>
            </w14:solidFill>
          </w14:textFill>
        </w:rPr>
        <w:t>课程</w:t>
      </w:r>
      <w:r>
        <w:rPr>
          <w:rFonts w:hint="eastAsia" w:eastAsia="宋体"/>
          <w:b/>
          <w:color w:val="0F6FC6" w:themeColor="accent5"/>
          <w14:textFill>
            <w14:solidFill>
              <w14:schemeClr w14:val="accent5"/>
            </w14:solidFill>
          </w14:textFill>
        </w:rPr>
        <w:t>的</w:t>
      </w:r>
      <w:r>
        <w:rPr>
          <w:rFonts w:eastAsia="宋体"/>
          <w:b/>
          <w:color w:val="0F6FC6" w:themeColor="accent5"/>
          <w14:textFill>
            <w14:solidFill>
              <w14:schemeClr w14:val="accent5"/>
            </w14:solidFill>
          </w14:textFill>
        </w:rPr>
        <w:t>评价</w:t>
      </w:r>
    </w:p>
    <w:p>
      <w:pPr>
        <w:pStyle w:val="135"/>
        <w:ind w:firstLine="480"/>
        <w:rPr>
          <w:rFonts w:asciiTheme="minorEastAsia" w:hAnsiTheme="minorEastAsia"/>
        </w:rPr>
      </w:pPr>
      <w:r>
        <w:rPr>
          <w:rFonts w:hint="eastAsia" w:asciiTheme="minorEastAsia" w:hAnsiTheme="minorEastAsia"/>
        </w:rPr>
        <w:t>课程</w:t>
      </w:r>
      <w:r>
        <w:rPr>
          <w:rFonts w:asciiTheme="minorEastAsia" w:hAnsiTheme="minorEastAsia"/>
        </w:rPr>
        <w:t>包括专业课和公共课，</w:t>
      </w:r>
      <w:r>
        <w:rPr>
          <w:rFonts w:hint="eastAsia" w:asciiTheme="minorEastAsia" w:hAnsiTheme="minorEastAsia"/>
        </w:rPr>
        <w:t>调查</w:t>
      </w:r>
      <w:r>
        <w:rPr>
          <w:rFonts w:asciiTheme="minorEastAsia" w:hAnsiTheme="minorEastAsia"/>
        </w:rPr>
        <w:t>了解学生对于所学课程的掌握情况，以及课程对于他们工作</w:t>
      </w:r>
      <w:r>
        <w:rPr>
          <w:rFonts w:hint="eastAsia" w:asciiTheme="minorEastAsia" w:hAnsiTheme="minorEastAsia"/>
        </w:rPr>
        <w:t>的</w:t>
      </w:r>
      <w:r>
        <w:rPr>
          <w:rFonts w:asciiTheme="minorEastAsia" w:hAnsiTheme="minorEastAsia"/>
        </w:rPr>
        <w:t>帮助情况</w:t>
      </w:r>
      <w:r>
        <w:rPr>
          <w:rFonts w:hint="eastAsia" w:asciiTheme="minorEastAsia" w:hAnsiTheme="minorEastAsia"/>
        </w:rPr>
        <w:t>有助于</w:t>
      </w:r>
      <w:r>
        <w:rPr>
          <w:rFonts w:asciiTheme="minorEastAsia" w:hAnsiTheme="minorEastAsia"/>
        </w:rPr>
        <w:t>学校</w:t>
      </w:r>
      <w:r>
        <w:rPr>
          <w:rFonts w:hint="eastAsia" w:asciiTheme="minorEastAsia" w:hAnsiTheme="minorEastAsia"/>
        </w:rPr>
        <w:t>更有</w:t>
      </w:r>
      <w:r>
        <w:rPr>
          <w:rFonts w:asciiTheme="minorEastAsia" w:hAnsiTheme="minorEastAsia"/>
        </w:rPr>
        <w:t>针对性的</w:t>
      </w:r>
      <w:r>
        <w:rPr>
          <w:rFonts w:hint="eastAsia" w:asciiTheme="minorEastAsia" w:hAnsiTheme="minorEastAsia"/>
        </w:rPr>
        <w:t>改革</w:t>
      </w:r>
      <w:r>
        <w:rPr>
          <w:rFonts w:asciiTheme="minorEastAsia" w:hAnsiTheme="minorEastAsia"/>
        </w:rPr>
        <w:t>教育教学。具体</w:t>
      </w:r>
      <w:r>
        <w:rPr>
          <w:rFonts w:hint="eastAsia" w:asciiTheme="minorEastAsia" w:hAnsiTheme="minorEastAsia"/>
        </w:rPr>
        <w:t>内容</w:t>
      </w:r>
      <w:r>
        <w:rPr>
          <w:rFonts w:asciiTheme="minorEastAsia" w:hAnsiTheme="minorEastAsia"/>
        </w:rPr>
        <w:t>如下所示。</w:t>
      </w:r>
    </w:p>
    <w:p>
      <w:pPr>
        <w:pStyle w:val="143"/>
        <w:ind w:firstLine="480"/>
      </w:pPr>
      <w:r>
        <w:t>2021</w:t>
      </w:r>
      <w:r>
        <w:rPr>
          <w:rFonts w:hint="eastAsia" w:asciiTheme="minorEastAsia" w:hAnsiTheme="minorEastAsia"/>
        </w:rPr>
        <w:t>届本科</w:t>
      </w:r>
      <w:r>
        <w:rPr>
          <w:rFonts w:asciiTheme="minorEastAsia" w:hAnsiTheme="minorEastAsia"/>
        </w:rPr>
        <w:t>毕业生对</w:t>
      </w:r>
      <w:r>
        <w:rPr>
          <w:rFonts w:hint="eastAsia" w:asciiTheme="minorEastAsia" w:hAnsiTheme="minorEastAsia"/>
        </w:rPr>
        <w:t>所学</w:t>
      </w:r>
      <w:r>
        <w:rPr>
          <w:rFonts w:asciiTheme="minorEastAsia" w:hAnsiTheme="minorEastAsia"/>
        </w:rPr>
        <w:t>课程的</w:t>
      </w:r>
      <w:r>
        <w:rPr>
          <w:rFonts w:hint="eastAsia" w:asciiTheme="minorEastAsia" w:hAnsiTheme="minorEastAsia"/>
        </w:rPr>
        <w:t>总体满意度</w:t>
      </w:r>
      <w:r>
        <w:rPr>
          <w:rFonts w:asciiTheme="minorEastAsia" w:hAnsiTheme="minorEastAsia"/>
        </w:rPr>
        <w:t>为</w:t>
      </w:r>
      <w:r>
        <w:rPr>
          <w:rFonts w:hint="eastAsia"/>
        </w:rPr>
        <w:t>92.83%；专科毕业生</w:t>
      </w:r>
      <w:r>
        <w:t>对所学课程的总体</w:t>
      </w:r>
      <w:r>
        <w:rPr>
          <w:rFonts w:hint="eastAsia"/>
        </w:rPr>
        <w:t>满意度</w:t>
      </w:r>
      <w:r>
        <w:t>为</w:t>
      </w:r>
      <w:r>
        <w:rPr>
          <w:rFonts w:hint="eastAsia"/>
        </w:rPr>
        <w:t>92.28%</w:t>
      </w:r>
      <w:r>
        <w:t>。</w:t>
      </w:r>
    </w:p>
    <w:p>
      <w:pPr>
        <w:pStyle w:val="143"/>
        <w:ind w:firstLine="0" w:firstLineChars="0"/>
        <w:jc w:val="center"/>
        <w:rPr>
          <w:rFonts w:eastAsia="宋体"/>
          <w:b/>
          <w:color w:val="0F6FC6" w:themeColor="accent5"/>
          <w14:textFill>
            <w14:solidFill>
              <w14:schemeClr w14:val="accent5"/>
            </w14:solidFill>
          </w14:textFill>
        </w:rPr>
      </w:pPr>
      <w:r>
        <w:rPr>
          <w:rFonts w:hint="eastAsia" w:eastAsia="黑体"/>
          <w:b/>
          <w:szCs w:val="21"/>
        </w:rPr>
        <w:drawing>
          <wp:inline distT="0" distB="0" distL="0" distR="0">
            <wp:extent cx="5467350" cy="227647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218"/>
        <w:spacing w:before="0" w:beforeLines="0" w:after="156"/>
        <w:rPr>
          <w:color w:val="0F6FC6" w:themeColor="accent5"/>
          <w14:textFill>
            <w14:solidFill>
              <w14:schemeClr w14:val="accent5"/>
            </w14:solidFill>
          </w14:textFill>
        </w:rPr>
      </w:pPr>
      <w:bookmarkStart w:id="315" w:name="_Toc17122202"/>
      <w:bookmarkStart w:id="316" w:name="_Toc16673957"/>
      <w:r>
        <w:rPr>
          <w:rFonts w:hint="eastAsia"/>
          <w:color w:val="0070C0"/>
        </w:rPr>
        <w:t>图</w:t>
      </w:r>
      <w:r>
        <w:rPr>
          <w:color w:val="0070C0"/>
        </w:rPr>
        <w:t>6</w:t>
      </w:r>
      <w:r>
        <w:rPr>
          <w:rFonts w:hint="eastAsia"/>
          <w:color w:val="0F6FC6" w:themeColor="accent5"/>
          <w14:textFill>
            <w14:solidFill>
              <w14:schemeClr w14:val="accent5"/>
            </w14:solidFill>
          </w14:textFill>
        </w:rPr>
        <w:t xml:space="preserve">- </w:t>
      </w:r>
      <w:r>
        <w:rPr>
          <w:color w:val="0F6FC6" w:themeColor="accent5"/>
          <w14:textFill>
            <w14:solidFill>
              <w14:schemeClr w14:val="accent5"/>
            </w14:solidFill>
          </w14:textFill>
        </w:rPr>
        <w:fldChar w:fldCharType="begin"/>
      </w:r>
      <w:r>
        <w:rPr>
          <w:color w:val="0F6FC6" w:themeColor="accent5"/>
          <w14:textFill>
            <w14:solidFill>
              <w14:schemeClr w14:val="accent5"/>
            </w14:solidFill>
          </w14:textFill>
        </w:rPr>
        <w:instrText xml:space="preserve"> </w:instrText>
      </w:r>
      <w:r>
        <w:rPr>
          <w:rFonts w:hint="eastAsia"/>
          <w:color w:val="0F6FC6" w:themeColor="accent5"/>
          <w14:textFill>
            <w14:solidFill>
              <w14:schemeClr w14:val="accent5"/>
            </w14:solidFill>
          </w14:textFill>
        </w:rPr>
        <w:instrText xml:space="preserve">SEQ 图7- \* ARABIC</w:instrText>
      </w:r>
      <w:r>
        <w:rPr>
          <w:color w:val="0F6FC6" w:themeColor="accent5"/>
          <w14:textFill>
            <w14:solidFill>
              <w14:schemeClr w14:val="accent5"/>
            </w14:solidFill>
          </w14:textFill>
        </w:rPr>
        <w:instrText xml:space="preserve"> </w:instrText>
      </w:r>
      <w:r>
        <w:rPr>
          <w:color w:val="0F6FC6" w:themeColor="accent5"/>
          <w14:textFill>
            <w14:solidFill>
              <w14:schemeClr w14:val="accent5"/>
            </w14:solidFill>
          </w14:textFill>
        </w:rPr>
        <w:fldChar w:fldCharType="separate"/>
      </w:r>
      <w:r>
        <w:rPr>
          <w:color w:val="0F6FC6" w:themeColor="accent5"/>
          <w14:textFill>
            <w14:solidFill>
              <w14:schemeClr w14:val="accent5"/>
            </w14:solidFill>
          </w14:textFill>
        </w:rPr>
        <w:t>2</w:t>
      </w:r>
      <w:r>
        <w:rPr>
          <w:color w:val="0F6FC6" w:themeColor="accent5"/>
          <w14:textFill>
            <w14:solidFill>
              <w14:schemeClr w14:val="accent5"/>
            </w14:solidFill>
          </w14:textFill>
        </w:rPr>
        <w:fldChar w:fldCharType="end"/>
      </w:r>
      <w:r>
        <w:rPr>
          <w:bCs/>
          <w:caps w:val="0"/>
          <w:color w:val="0F6FC6" w:themeColor="accent5"/>
          <w14:textFill>
            <w14:solidFill>
              <w14:schemeClr w14:val="accent5"/>
            </w14:solidFill>
          </w14:textFill>
        </w:rPr>
        <w:t xml:space="preserve">  </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w:t>
      </w:r>
      <w:r>
        <w:rPr>
          <w:color w:val="0F6FC6" w:themeColor="accent5"/>
          <w14:textFill>
            <w14:solidFill>
              <w14:schemeClr w14:val="accent5"/>
            </w14:solidFill>
          </w14:textFill>
        </w:rPr>
        <w:t>生对</w:t>
      </w:r>
      <w:r>
        <w:rPr>
          <w:rFonts w:hint="eastAsia"/>
          <w:color w:val="0F6FC6" w:themeColor="accent5"/>
          <w14:textFill>
            <w14:solidFill>
              <w14:schemeClr w14:val="accent5"/>
            </w14:solidFill>
          </w14:textFill>
        </w:rPr>
        <w:t>所学</w:t>
      </w:r>
      <w:r>
        <w:rPr>
          <w:color w:val="0F6FC6" w:themeColor="accent5"/>
          <w14:textFill>
            <w14:solidFill>
              <w14:schemeClr w14:val="accent5"/>
            </w14:solidFill>
          </w14:textFill>
        </w:rPr>
        <w:t>课程的</w:t>
      </w:r>
      <w:r>
        <w:rPr>
          <w:rFonts w:hint="eastAsia"/>
          <w:color w:val="0F6FC6" w:themeColor="accent5"/>
          <w14:textFill>
            <w14:solidFill>
              <w14:schemeClr w14:val="accent5"/>
            </w14:solidFill>
          </w14:textFill>
        </w:rPr>
        <w:t>评价</w:t>
      </w:r>
      <w:bookmarkEnd w:id="315"/>
      <w:bookmarkEnd w:id="316"/>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注：1.评价维度包括“很符合”、“符合”、“基本</w:t>
      </w:r>
      <w:r>
        <w:rPr>
          <w:color w:val="0F6FC6" w:themeColor="accent5"/>
          <w14:textFill>
            <w14:solidFill>
              <w14:schemeClr w14:val="accent5"/>
            </w14:solidFill>
          </w14:textFill>
        </w:rPr>
        <w:t>符合</w:t>
      </w:r>
      <w:r>
        <w:rPr>
          <w:rFonts w:hint="eastAsia"/>
          <w:color w:val="0F6FC6" w:themeColor="accent5"/>
          <w14:textFill>
            <w14:solidFill>
              <w14:schemeClr w14:val="accent5"/>
            </w14:solidFill>
          </w14:textFill>
        </w:rPr>
        <w:t>”、“不符合”、“很不符合”和“无法评价”；其中，掌握度</w:t>
      </w:r>
      <w:r>
        <w:rPr>
          <w:color w:val="0F6FC6" w:themeColor="accent5"/>
          <w14:textFill>
            <w14:solidFill>
              <w14:schemeClr w14:val="accent5"/>
            </w14:solidFill>
          </w14:textFill>
        </w:rPr>
        <w:t>/满足度/帮助度均</w:t>
      </w:r>
      <w:r>
        <w:rPr>
          <w:rFonts w:hint="eastAsia"/>
          <w:color w:val="0F6FC6" w:themeColor="accent5"/>
          <w14:textFill>
            <w14:solidFill>
              <w14:schemeClr w14:val="accent5"/>
            </w14:solidFill>
          </w14:textFill>
        </w:rPr>
        <w:t>为选择“很符合”、“符合”和“基本符合”的人数占“此题总人数—无法评价人数”的比例。该百分比越高，毕业生反映越符合，表示毕业生对所学课程越满意。</w:t>
      </w:r>
    </w:p>
    <w:p>
      <w:pPr>
        <w:pStyle w:val="118"/>
        <w:ind w:firstLine="720" w:firstLineChars="400"/>
        <w:jc w:val="both"/>
        <w:rPr>
          <w:color w:val="0F6FC6" w:themeColor="accent5"/>
          <w:lang w:val="en-US"/>
          <w14:textFill>
            <w14:solidFill>
              <w14:schemeClr w14:val="accent5"/>
            </w14:solidFill>
          </w14:textFill>
        </w:rPr>
      </w:pPr>
      <w:r>
        <w:rPr>
          <w:rFonts w:hint="eastAsia"/>
          <w:color w:val="0F6FC6" w:themeColor="accent5"/>
          <w:lang w:val="en-US"/>
          <w14:textFill>
            <w14:solidFill>
              <w14:schemeClr w14:val="accent5"/>
            </w14:solidFill>
          </w14:textFill>
        </w:rPr>
        <w:t>2.课程</w:t>
      </w:r>
      <w:r>
        <w:rPr>
          <w:color w:val="0F6FC6" w:themeColor="accent5"/>
          <w:lang w:val="en-US"/>
          <w14:textFill>
            <w14:solidFill>
              <w14:schemeClr w14:val="accent5"/>
            </w14:solidFill>
          </w14:textFill>
        </w:rPr>
        <w:t>总体</w:t>
      </w:r>
      <w:r>
        <w:rPr>
          <w:rFonts w:hint="eastAsia"/>
          <w:color w:val="0F6FC6" w:themeColor="accent5"/>
          <w:lang w:val="en-US"/>
          <w14:textFill>
            <w14:solidFill>
              <w14:schemeClr w14:val="accent5"/>
            </w14:solidFill>
          </w14:textFill>
        </w:rPr>
        <w:t>满意度=（专业课掌握度+专业课满足度+</w:t>
      </w:r>
      <w:r>
        <w:rPr>
          <w:color w:val="0F6FC6" w:themeColor="accent5"/>
          <w:lang w:val="en-US"/>
          <w14:textFill>
            <w14:solidFill>
              <w14:schemeClr w14:val="accent5"/>
            </w14:solidFill>
          </w14:textFill>
        </w:rPr>
        <w:t>公共课帮助</w:t>
      </w:r>
      <w:r>
        <w:rPr>
          <w:rFonts w:hint="eastAsia"/>
          <w:color w:val="0F6FC6" w:themeColor="accent5"/>
          <w:lang w:val="en-US"/>
          <w14:textFill>
            <w14:solidFill>
              <w14:schemeClr w14:val="accent5"/>
            </w14:solidFill>
          </w14:textFill>
        </w:rPr>
        <w:t>度）/</w:t>
      </w:r>
      <w:r>
        <w:rPr>
          <w:color w:val="0F6FC6" w:themeColor="accent5"/>
          <w:lang w:val="en-US"/>
          <w14:textFill>
            <w14:solidFill>
              <w14:schemeClr w14:val="accent5"/>
            </w14:solidFill>
          </w14:textFill>
        </w:rPr>
        <w:t>3</w:t>
      </w:r>
      <w:r>
        <w:rPr>
          <w:rFonts w:hint="eastAsia"/>
          <w:color w:val="0F6FC6" w:themeColor="accent5"/>
          <w:lang w:val="en-US"/>
          <w14:textFill>
            <w14:solidFill>
              <w14:schemeClr w14:val="accent5"/>
            </w14:solidFill>
          </w14:textFill>
        </w:rPr>
        <w:t>。</w:t>
      </w:r>
    </w:p>
    <w:p>
      <w:pPr>
        <w:pStyle w:val="118"/>
        <w:spacing w:after="156" w:afterLines="50"/>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3"/>
        <w:spacing w:before="312" w:beforeLines="100"/>
        <w:ind w:firstLine="482"/>
        <w:rPr>
          <w:rFonts w:eastAsia="宋体"/>
          <w:b/>
          <w:color w:val="0F6FC6" w:themeColor="accent5"/>
          <w14:textFill>
            <w14:solidFill>
              <w14:schemeClr w14:val="accent5"/>
            </w14:solidFill>
          </w14:textFill>
        </w:rPr>
      </w:pPr>
      <w:r>
        <w:rPr>
          <w:rFonts w:eastAsia="宋体"/>
          <w:b/>
          <w:color w:val="0F6FC6" w:themeColor="accent5"/>
          <w14:textFill>
            <w14:solidFill>
              <w14:schemeClr w14:val="accent5"/>
            </w14:solidFill>
          </w14:textFill>
        </w:rPr>
        <w:t>2.</w:t>
      </w:r>
      <w:r>
        <w:rPr>
          <w:rFonts w:hint="eastAsia" w:eastAsia="宋体"/>
          <w:b/>
          <w:color w:val="0F6FC6" w:themeColor="accent5"/>
          <w14:textFill>
            <w14:solidFill>
              <w14:schemeClr w14:val="accent5"/>
            </w14:solidFill>
          </w14:textFill>
        </w:rPr>
        <w:t>对任课教师的</w:t>
      </w:r>
      <w:r>
        <w:rPr>
          <w:rFonts w:eastAsia="宋体"/>
          <w:b/>
          <w:color w:val="0F6FC6" w:themeColor="accent5"/>
          <w14:textFill>
            <w14:solidFill>
              <w14:schemeClr w14:val="accent5"/>
            </w14:solidFill>
          </w14:textFill>
        </w:rPr>
        <w:t>评价</w:t>
      </w:r>
    </w:p>
    <w:p>
      <w:pPr>
        <w:pStyle w:val="135"/>
        <w:ind w:firstLine="480"/>
      </w:pPr>
      <w:r>
        <w:rPr>
          <w:rFonts w:hint="eastAsia" w:asciiTheme="minorEastAsia" w:hAnsiTheme="minorEastAsia"/>
        </w:rPr>
        <w:t>师资队伍既是教学的主体力量，又是办学的主要条件，也是确保人才培养质量最关键的因素。</w:t>
      </w:r>
      <w:r>
        <w:t>调查了解毕业生对</w:t>
      </w:r>
      <w:r>
        <w:rPr>
          <w:rFonts w:hint="eastAsia"/>
        </w:rPr>
        <w:t>母校任课教师在</w:t>
      </w:r>
      <w:r>
        <w:t>师德师风、</w:t>
      </w:r>
      <w:r>
        <w:rPr>
          <w:rFonts w:hint="eastAsia"/>
        </w:rPr>
        <w:t>教学态度和教学水平方面的评价，具体内容如下所示。</w:t>
      </w:r>
    </w:p>
    <w:p>
      <w:pPr>
        <w:pStyle w:val="143"/>
        <w:ind w:firstLine="480"/>
        <w:rPr>
          <w:rFonts w:cstheme="minorBidi"/>
          <w:color w:val="000000"/>
        </w:rPr>
      </w:pPr>
      <w:r>
        <w:t>2021届</w:t>
      </w:r>
      <w:r>
        <w:rPr>
          <w:rFonts w:hint="eastAsia"/>
        </w:rPr>
        <w:t>本科毕业生对学校任课教师的总体满意度为97.04%；专科</w:t>
      </w:r>
      <w:r>
        <w:t>毕业生对任课教师的总体</w:t>
      </w:r>
      <w:r>
        <w:rPr>
          <w:rFonts w:hint="eastAsia"/>
        </w:rPr>
        <w:t>满意度</w:t>
      </w:r>
      <w:r>
        <w:t>为</w:t>
      </w:r>
      <w:r>
        <w:rPr>
          <w:rFonts w:hint="eastAsia"/>
        </w:rPr>
        <w:t>96.29%。</w:t>
      </w:r>
      <w:r>
        <w:rPr>
          <w:rFonts w:hint="eastAsia" w:cstheme="minorBidi"/>
          <w:color w:val="000000"/>
        </w:rPr>
        <w:t>可见母校任课教师在师德师风、教学态度和教学水平方面均得到</w:t>
      </w:r>
      <w:r>
        <w:rPr>
          <w:rFonts w:cstheme="minorBidi"/>
          <w:color w:val="000000"/>
        </w:rPr>
        <w:t>毕业生</w:t>
      </w:r>
      <w:r>
        <w:rPr>
          <w:rFonts w:hint="eastAsia" w:cstheme="minorBidi"/>
          <w:color w:val="000000"/>
        </w:rPr>
        <w:t>的普遍认可和高度评价。</w:t>
      </w:r>
    </w:p>
    <w:p>
      <w:pPr>
        <w:pStyle w:val="143"/>
        <w:ind w:firstLine="0" w:firstLineChars="0"/>
        <w:jc w:val="center"/>
        <w:rPr>
          <w:rFonts w:eastAsia="宋体"/>
          <w:b/>
          <w:color w:val="0F6FC6" w:themeColor="accent5"/>
          <w14:textFill>
            <w14:solidFill>
              <w14:schemeClr w14:val="accent5"/>
            </w14:solidFill>
          </w14:textFill>
        </w:rPr>
      </w:pPr>
      <w:r>
        <w:rPr>
          <w:rFonts w:hint="eastAsia" w:eastAsia="黑体"/>
          <w:b/>
          <w:szCs w:val="21"/>
        </w:rPr>
        <w:drawing>
          <wp:inline distT="0" distB="0" distL="0" distR="0">
            <wp:extent cx="5466080" cy="2152650"/>
            <wp:effectExtent l="0" t="0" r="1270" b="0"/>
            <wp:docPr id="968" name="图表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218"/>
        <w:spacing w:before="0" w:beforeLines="0" w:after="156"/>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图6- </w:t>
      </w:r>
      <w:r>
        <w:rPr>
          <w:color w:val="0F6FC6" w:themeColor="accent5"/>
          <w14:textFill>
            <w14:solidFill>
              <w14:schemeClr w14:val="accent5"/>
            </w14:solidFill>
          </w14:textFill>
        </w:rPr>
        <w:fldChar w:fldCharType="begin"/>
      </w:r>
      <w:r>
        <w:rPr>
          <w:color w:val="0F6FC6" w:themeColor="accent5"/>
          <w14:textFill>
            <w14:solidFill>
              <w14:schemeClr w14:val="accent5"/>
            </w14:solidFill>
          </w14:textFill>
        </w:rPr>
        <w:instrText xml:space="preserve"> </w:instrText>
      </w:r>
      <w:r>
        <w:rPr>
          <w:rFonts w:hint="eastAsia"/>
          <w:color w:val="0F6FC6" w:themeColor="accent5"/>
          <w14:textFill>
            <w14:solidFill>
              <w14:schemeClr w14:val="accent5"/>
            </w14:solidFill>
          </w14:textFill>
        </w:rPr>
        <w:instrText xml:space="preserve">SEQ 图7- \* ARABIC</w:instrText>
      </w:r>
      <w:r>
        <w:rPr>
          <w:color w:val="0F6FC6" w:themeColor="accent5"/>
          <w14:textFill>
            <w14:solidFill>
              <w14:schemeClr w14:val="accent5"/>
            </w14:solidFill>
          </w14:textFill>
        </w:rPr>
        <w:instrText xml:space="preserve"> </w:instrText>
      </w:r>
      <w:r>
        <w:rPr>
          <w:color w:val="0F6FC6" w:themeColor="accent5"/>
          <w14:textFill>
            <w14:solidFill>
              <w14:schemeClr w14:val="accent5"/>
            </w14:solidFill>
          </w14:textFill>
        </w:rPr>
        <w:fldChar w:fldCharType="separate"/>
      </w:r>
      <w:r>
        <w:rPr>
          <w:color w:val="0F6FC6" w:themeColor="accent5"/>
          <w14:textFill>
            <w14:solidFill>
              <w14:schemeClr w14:val="accent5"/>
            </w14:solidFill>
          </w14:textFill>
        </w:rPr>
        <w:t>3</w:t>
      </w:r>
      <w:r>
        <w:rPr>
          <w:color w:val="0F6FC6" w:themeColor="accent5"/>
          <w14:textFill>
            <w14:solidFill>
              <w14:schemeClr w14:val="accent5"/>
            </w14:solidFill>
          </w14:textFill>
        </w:rPr>
        <w:fldChar w:fldCharType="end"/>
      </w:r>
      <w:r>
        <w:rPr>
          <w:bCs/>
          <w:caps w:val="0"/>
          <w:color w:val="0F6FC6" w:themeColor="accent5"/>
          <w14:textFill>
            <w14:solidFill>
              <w14:schemeClr w14:val="accent5"/>
            </w14:solidFill>
          </w14:textFill>
        </w:rPr>
        <w:t xml:space="preserve">  </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w:t>
      </w:r>
      <w:r>
        <w:rPr>
          <w:color w:val="0F6FC6" w:themeColor="accent5"/>
          <w14:textFill>
            <w14:solidFill>
              <w14:schemeClr w14:val="accent5"/>
            </w14:solidFill>
          </w14:textFill>
        </w:rPr>
        <w:t>生对</w:t>
      </w:r>
      <w:r>
        <w:rPr>
          <w:rFonts w:hint="eastAsia"/>
          <w:color w:val="0F6FC6" w:themeColor="accent5"/>
          <w14:textFill>
            <w14:solidFill>
              <w14:schemeClr w14:val="accent5"/>
            </w14:solidFill>
          </w14:textFill>
        </w:rPr>
        <w:t>任课教师</w:t>
      </w:r>
      <w:r>
        <w:rPr>
          <w:color w:val="0F6FC6" w:themeColor="accent5"/>
          <w14:textFill>
            <w14:solidFill>
              <w14:schemeClr w14:val="accent5"/>
            </w14:solidFill>
          </w14:textFill>
        </w:rPr>
        <w:t>的</w:t>
      </w:r>
      <w:r>
        <w:rPr>
          <w:rFonts w:hint="eastAsia"/>
          <w:color w:val="0F6FC6" w:themeColor="accent5"/>
          <w14:textFill>
            <w14:solidFill>
              <w14:schemeClr w14:val="accent5"/>
            </w14:solidFill>
          </w14:textFill>
        </w:rPr>
        <w:t>评价</w:t>
      </w:r>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1.评价维度包括“很符合”、“符合”、“基本符合”、“不符合”、“很不符合”和“无法评价”；其中，符合度为选择“很符合”、“符合”和“基本符合”的人数占“此题总人数—无法评价人数”的比例。</w:t>
      </w:r>
    </w:p>
    <w:p>
      <w:pPr>
        <w:pStyle w:val="118"/>
        <w:ind w:firstLine="720" w:firstLineChars="400"/>
        <w:jc w:val="both"/>
        <w:rPr>
          <w:color w:val="0F6FC6" w:themeColor="accent5"/>
          <w:lang w:val="en-US"/>
          <w14:textFill>
            <w14:solidFill>
              <w14:schemeClr w14:val="accent5"/>
            </w14:solidFill>
          </w14:textFill>
        </w:rPr>
      </w:pPr>
      <w:r>
        <w:rPr>
          <w:rFonts w:hint="eastAsia"/>
          <w:color w:val="0F6FC6" w:themeColor="accent5"/>
          <w:lang w:val="en-US"/>
          <w14:textFill>
            <w14:solidFill>
              <w14:schemeClr w14:val="accent5"/>
            </w14:solidFill>
          </w14:textFill>
        </w:rPr>
        <w:t>2.任课教师总体满意度=（师德师风+教学态度+</w:t>
      </w:r>
      <w:r>
        <w:rPr>
          <w:color w:val="0F6FC6" w:themeColor="accent5"/>
          <w:lang w:val="en-US"/>
          <w14:textFill>
            <w14:solidFill>
              <w14:schemeClr w14:val="accent5"/>
            </w14:solidFill>
          </w14:textFill>
        </w:rPr>
        <w:t>教学水平</w:t>
      </w:r>
      <w:r>
        <w:rPr>
          <w:rFonts w:hint="eastAsia"/>
          <w:color w:val="0F6FC6" w:themeColor="accent5"/>
          <w:lang w:val="en-US"/>
          <w14:textFill>
            <w14:solidFill>
              <w14:schemeClr w14:val="accent5"/>
            </w14:solidFill>
          </w14:textFill>
        </w:rPr>
        <w:t>）/</w:t>
      </w:r>
      <w:r>
        <w:rPr>
          <w:color w:val="0F6FC6" w:themeColor="accent5"/>
          <w:lang w:val="en-US"/>
          <w14:textFill>
            <w14:solidFill>
              <w14:schemeClr w14:val="accent5"/>
            </w14:solidFill>
          </w14:textFill>
        </w:rPr>
        <w:t>3</w:t>
      </w:r>
      <w:r>
        <w:rPr>
          <w:rFonts w:hint="eastAsia"/>
          <w:color w:val="0F6FC6" w:themeColor="accent5"/>
          <w:lang w:val="en-US"/>
          <w14:textFill>
            <w14:solidFill>
              <w14:schemeClr w14:val="accent5"/>
            </w14:solidFill>
          </w14:textFill>
        </w:rPr>
        <w:t>。</w:t>
      </w:r>
      <w:r>
        <w:rPr>
          <w:rFonts w:hint="eastAsia"/>
          <w:color w:val="0F6FC6" w:themeColor="accent5"/>
          <w14:textFill>
            <w14:solidFill>
              <w14:schemeClr w14:val="accent5"/>
            </w14:solidFill>
          </w14:textFill>
        </w:rPr>
        <w:t>该百分比越高，毕业生反映越符合，表示毕业生对任课教师越满意。</w:t>
      </w:r>
    </w:p>
    <w:p>
      <w:pPr>
        <w:pStyle w:val="118"/>
        <w:spacing w:after="156" w:afterLines="50"/>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3"/>
        <w:spacing w:before="312" w:beforeLines="100"/>
        <w:ind w:firstLine="482"/>
        <w:rPr>
          <w:rFonts w:eastAsia="宋体"/>
          <w:b/>
          <w:color w:val="0F6FC6" w:themeColor="accent1"/>
          <w14:textFill>
            <w14:solidFill>
              <w14:schemeClr w14:val="accent1"/>
            </w14:solidFill>
          </w14:textFill>
        </w:rPr>
      </w:pPr>
      <w:r>
        <w:rPr>
          <w:rFonts w:hint="eastAsia" w:eastAsia="宋体"/>
          <w:b/>
          <w:color w:val="0F6FC6" w:themeColor="accent5"/>
          <w14:textFill>
            <w14:solidFill>
              <w14:schemeClr w14:val="accent5"/>
            </w14:solidFill>
          </w14:textFill>
        </w:rPr>
        <w:t>3</w:t>
      </w:r>
      <w:r>
        <w:rPr>
          <w:rFonts w:eastAsia="宋体"/>
          <w:b/>
          <w:color w:val="0F6FC6" w:themeColor="accent5"/>
          <w14:textFill>
            <w14:solidFill>
              <w14:schemeClr w14:val="accent5"/>
            </w14:solidFill>
          </w14:textFill>
        </w:rPr>
        <w:t>.</w:t>
      </w:r>
      <w:r>
        <w:rPr>
          <w:rFonts w:hint="eastAsia" w:eastAsia="宋体"/>
          <w:b/>
          <w:color w:val="0F6FC6" w:themeColor="accent5"/>
          <w14:textFill>
            <w14:solidFill>
              <w14:schemeClr w14:val="accent5"/>
            </w14:solidFill>
          </w14:textFill>
        </w:rPr>
        <w:t>对母校学风建设的</w:t>
      </w:r>
      <w:r>
        <w:rPr>
          <w:rFonts w:eastAsia="宋体"/>
          <w:b/>
          <w:color w:val="0F6FC6" w:themeColor="accent5"/>
          <w14:textFill>
            <w14:solidFill>
              <w14:schemeClr w14:val="accent5"/>
            </w14:solidFill>
          </w14:textFill>
        </w:rPr>
        <w:t>评价</w:t>
      </w:r>
    </w:p>
    <w:p>
      <w:pPr>
        <w:pStyle w:val="135"/>
        <w:ind w:firstLine="480"/>
      </w:pPr>
      <w:r>
        <w:rPr>
          <w:rFonts w:hint="eastAsia" w:asciiTheme="minorEastAsia" w:hAnsiTheme="minorEastAsia"/>
        </w:rPr>
        <w:t>学风能</w:t>
      </w:r>
      <w:r>
        <w:rPr>
          <w:rFonts w:asciiTheme="minorEastAsia" w:hAnsiTheme="minorEastAsia"/>
        </w:rPr>
        <w:t>体现</w:t>
      </w:r>
      <w:r>
        <w:rPr>
          <w:rFonts w:hint="eastAsia" w:asciiTheme="minorEastAsia" w:hAnsiTheme="minorEastAsia"/>
        </w:rPr>
        <w:t>一所</w:t>
      </w:r>
      <w:r>
        <w:rPr>
          <w:rFonts w:asciiTheme="minorEastAsia" w:hAnsiTheme="minorEastAsia"/>
        </w:rPr>
        <w:t>学校的</w:t>
      </w:r>
      <w:r>
        <w:rPr>
          <w:rFonts w:hint="eastAsia" w:asciiTheme="minorEastAsia" w:hAnsiTheme="minorEastAsia"/>
        </w:rPr>
        <w:t>学习氛围，</w:t>
      </w:r>
      <w:r>
        <w:rPr>
          <w:rFonts w:asciiTheme="minorEastAsia" w:hAnsiTheme="minorEastAsia"/>
        </w:rPr>
        <w:t>也</w:t>
      </w:r>
      <w:r>
        <w:rPr>
          <w:rFonts w:hint="eastAsia" w:asciiTheme="minorEastAsia" w:hAnsiTheme="minorEastAsia"/>
        </w:rPr>
        <w:t>代表着</w:t>
      </w:r>
      <w:r>
        <w:rPr>
          <w:rFonts w:asciiTheme="minorEastAsia" w:hAnsiTheme="minorEastAsia"/>
        </w:rPr>
        <w:t>学校的精神风貌</w:t>
      </w:r>
      <w:r>
        <w:rPr>
          <w:rFonts w:hint="eastAsia" w:asciiTheme="minorEastAsia" w:hAnsiTheme="minorEastAsia"/>
        </w:rPr>
        <w:t>。</w:t>
      </w:r>
      <w:r>
        <w:t>调查了解毕业生对</w:t>
      </w:r>
      <w:r>
        <w:rPr>
          <w:rFonts w:hint="eastAsia"/>
        </w:rPr>
        <w:t>母校</w:t>
      </w:r>
      <w:r>
        <w:t>整体</w:t>
      </w:r>
      <w:r>
        <w:rPr>
          <w:rFonts w:hint="eastAsia"/>
        </w:rPr>
        <w:t>在课堂听讲</w:t>
      </w:r>
      <w:r>
        <w:t>、</w:t>
      </w:r>
      <w:r>
        <w:rPr>
          <w:rFonts w:hint="eastAsia"/>
        </w:rPr>
        <w:t>课后自习和学习</w:t>
      </w:r>
      <w:r>
        <w:t>交流</w:t>
      </w:r>
      <w:r>
        <w:rPr>
          <w:rFonts w:hint="eastAsia"/>
        </w:rPr>
        <w:t>方面的评价，具体内容如下所示。</w:t>
      </w:r>
    </w:p>
    <w:p>
      <w:pPr>
        <w:spacing w:line="360" w:lineRule="auto"/>
        <w:ind w:firstLine="482"/>
        <w:jc w:val="both"/>
      </w:pPr>
      <w:r>
        <w:rPr>
          <w:rFonts w:ascii="Times New Roman" w:hAnsi="Times New Roman"/>
        </w:rPr>
        <w:t>2021届</w:t>
      </w:r>
      <w:r>
        <w:rPr>
          <w:rFonts w:hint="eastAsia" w:ascii="Times New Roman" w:hAnsi="Times New Roman"/>
        </w:rPr>
        <w:t>本科</w:t>
      </w:r>
      <w:r>
        <w:rPr>
          <w:rFonts w:hint="eastAsia"/>
        </w:rPr>
        <w:t>毕业生对母校</w:t>
      </w:r>
      <w:r>
        <w:t>学风</w:t>
      </w:r>
      <w:r>
        <w:rPr>
          <w:rFonts w:hint="eastAsia"/>
        </w:rPr>
        <w:t>建设的总体满意度为</w:t>
      </w:r>
      <w:r>
        <w:rPr>
          <w:rFonts w:hint="eastAsia" w:ascii="Times New Roman" w:hAnsi="Times New Roman"/>
        </w:rPr>
        <w:t>95.35%</w:t>
      </w:r>
      <w:r>
        <w:rPr>
          <w:rFonts w:hint="eastAsia"/>
        </w:rPr>
        <w:t>，专科</w:t>
      </w:r>
      <w:r>
        <w:t>毕业生</w:t>
      </w:r>
      <w:r>
        <w:rPr>
          <w:rFonts w:hint="eastAsia"/>
        </w:rPr>
        <w:t>对母校</w:t>
      </w:r>
      <w:r>
        <w:t>学风</w:t>
      </w:r>
      <w:r>
        <w:rPr>
          <w:rFonts w:hint="eastAsia"/>
        </w:rPr>
        <w:t>建设的总体满意度为</w:t>
      </w:r>
      <w:r>
        <w:rPr>
          <w:rFonts w:hint="eastAsia" w:ascii="Times New Roman" w:hAnsi="Times New Roman"/>
        </w:rPr>
        <w:t>93.48%</w:t>
      </w:r>
      <w:r>
        <w:rPr>
          <w:rFonts w:hint="eastAsia"/>
        </w:rPr>
        <w:t>。</w:t>
      </w:r>
    </w:p>
    <w:p>
      <w:pPr>
        <w:spacing w:line="360" w:lineRule="auto"/>
        <w:jc w:val="center"/>
      </w:pPr>
      <w:r>
        <w:rPr>
          <w:rFonts w:hint="eastAsia" w:eastAsia="黑体"/>
          <w:b/>
          <w:szCs w:val="21"/>
        </w:rPr>
        <w:drawing>
          <wp:inline distT="0" distB="0" distL="0" distR="0">
            <wp:extent cx="5562600" cy="2390775"/>
            <wp:effectExtent l="0" t="0" r="0" b="0"/>
            <wp:docPr id="973" name="图表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218"/>
        <w:spacing w:before="0" w:beforeLines="0" w:after="156"/>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 xml:space="preserve">图6- </w:t>
      </w:r>
      <w:r>
        <w:rPr>
          <w:color w:val="0F6FC6" w:themeColor="accent5"/>
          <w14:textFill>
            <w14:solidFill>
              <w14:schemeClr w14:val="accent5"/>
            </w14:solidFill>
          </w14:textFill>
        </w:rPr>
        <w:fldChar w:fldCharType="begin"/>
      </w:r>
      <w:r>
        <w:rPr>
          <w:color w:val="0F6FC6" w:themeColor="accent5"/>
          <w14:textFill>
            <w14:solidFill>
              <w14:schemeClr w14:val="accent5"/>
            </w14:solidFill>
          </w14:textFill>
        </w:rPr>
        <w:instrText xml:space="preserve"> </w:instrText>
      </w:r>
      <w:r>
        <w:rPr>
          <w:rFonts w:hint="eastAsia"/>
          <w:color w:val="0F6FC6" w:themeColor="accent5"/>
          <w14:textFill>
            <w14:solidFill>
              <w14:schemeClr w14:val="accent5"/>
            </w14:solidFill>
          </w14:textFill>
        </w:rPr>
        <w:instrText xml:space="preserve">SEQ 图7- \* ARABIC</w:instrText>
      </w:r>
      <w:r>
        <w:rPr>
          <w:color w:val="0F6FC6" w:themeColor="accent5"/>
          <w14:textFill>
            <w14:solidFill>
              <w14:schemeClr w14:val="accent5"/>
            </w14:solidFill>
          </w14:textFill>
        </w:rPr>
        <w:instrText xml:space="preserve"> </w:instrText>
      </w:r>
      <w:r>
        <w:rPr>
          <w:color w:val="0F6FC6" w:themeColor="accent5"/>
          <w14:textFill>
            <w14:solidFill>
              <w14:schemeClr w14:val="accent5"/>
            </w14:solidFill>
          </w14:textFill>
        </w:rPr>
        <w:fldChar w:fldCharType="separate"/>
      </w:r>
      <w:r>
        <w:rPr>
          <w:color w:val="0F6FC6" w:themeColor="accent5"/>
          <w14:textFill>
            <w14:solidFill>
              <w14:schemeClr w14:val="accent5"/>
            </w14:solidFill>
          </w14:textFill>
        </w:rPr>
        <w:t>4</w:t>
      </w:r>
      <w:r>
        <w:rPr>
          <w:color w:val="0F6FC6" w:themeColor="accent5"/>
          <w14:textFill>
            <w14:solidFill>
              <w14:schemeClr w14:val="accent5"/>
            </w14:solidFill>
          </w14:textFill>
        </w:rPr>
        <w:fldChar w:fldCharType="end"/>
      </w:r>
      <w:r>
        <w:rPr>
          <w:bCs/>
          <w:caps w:val="0"/>
          <w:color w:val="0F6FC6" w:themeColor="accent5"/>
          <w14:textFill>
            <w14:solidFill>
              <w14:schemeClr w14:val="accent5"/>
            </w14:solidFill>
          </w14:textFill>
        </w:rPr>
        <w:t xml:space="preserve">  </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w:t>
      </w:r>
      <w:r>
        <w:rPr>
          <w:color w:val="0F6FC6" w:themeColor="accent5"/>
          <w14:textFill>
            <w14:solidFill>
              <w14:schemeClr w14:val="accent5"/>
            </w14:solidFill>
          </w14:textFill>
        </w:rPr>
        <w:t>生对</w:t>
      </w:r>
      <w:r>
        <w:rPr>
          <w:rFonts w:hint="eastAsia"/>
          <w:color w:val="0F6FC6" w:themeColor="accent5"/>
          <w14:textFill>
            <w14:solidFill>
              <w14:schemeClr w14:val="accent5"/>
            </w14:solidFill>
          </w14:textFill>
        </w:rPr>
        <w:t>学风建设</w:t>
      </w:r>
      <w:r>
        <w:rPr>
          <w:color w:val="0F6FC6" w:themeColor="accent5"/>
          <w14:textFill>
            <w14:solidFill>
              <w14:schemeClr w14:val="accent5"/>
            </w14:solidFill>
          </w14:textFill>
        </w:rPr>
        <w:t>的</w:t>
      </w:r>
      <w:r>
        <w:rPr>
          <w:rFonts w:hint="eastAsia"/>
          <w:color w:val="0F6FC6" w:themeColor="accent5"/>
          <w14:textFill>
            <w14:solidFill>
              <w14:schemeClr w14:val="accent5"/>
            </w14:solidFill>
          </w14:textFill>
        </w:rPr>
        <w:t>评价</w:t>
      </w:r>
    </w:p>
    <w:p>
      <w:pPr>
        <w:pStyle w:val="118"/>
        <w:ind w:firstLine="360"/>
        <w:jc w:val="both"/>
        <w:rPr>
          <w:color w:val="0F6FC6" w:themeColor="accent5"/>
          <w14:textFill>
            <w14:solidFill>
              <w14:schemeClr w14:val="accent5"/>
            </w14:solidFill>
          </w14:textFill>
        </w:rPr>
      </w:pPr>
      <w:r>
        <w:rPr>
          <w:rFonts w:hint="eastAsia"/>
          <w:color w:val="0F6FC6" w:themeColor="accent5"/>
          <w:lang w:val="en-US"/>
          <w14:textFill>
            <w14:solidFill>
              <w14:schemeClr w14:val="accent5"/>
            </w14:solidFill>
          </w14:textFill>
        </w:rPr>
        <w:t>注：</w:t>
      </w:r>
      <w:r>
        <w:rPr>
          <w:rFonts w:hint="eastAsia"/>
          <w:color w:val="0F6FC6" w:themeColor="accent5"/>
          <w14:textFill>
            <w14:solidFill>
              <w14:schemeClr w14:val="accent5"/>
            </w14:solidFill>
          </w14:textFill>
        </w:rPr>
        <w:t>1.评价维度包括“很符合”、“符合”、“基本符合”、“不符合”、“很不符合”和“无法评价”；其中，符合度为选择“很符合”、“符合”和“基本符合”的人数占“此题总人数—无法评价人数”的比例。</w:t>
      </w:r>
    </w:p>
    <w:p>
      <w:pPr>
        <w:pStyle w:val="118"/>
        <w:ind w:firstLine="720" w:firstLineChars="400"/>
        <w:jc w:val="both"/>
        <w:rPr>
          <w:color w:val="0F6FC6" w:themeColor="accent5"/>
          <w:lang w:val="en-US"/>
          <w14:textFill>
            <w14:solidFill>
              <w14:schemeClr w14:val="accent5"/>
            </w14:solidFill>
          </w14:textFill>
        </w:rPr>
      </w:pPr>
      <w:r>
        <w:rPr>
          <w:rFonts w:hint="eastAsia"/>
          <w:color w:val="0F6FC6" w:themeColor="accent5"/>
          <w:lang w:val="en-US"/>
          <w14:textFill>
            <w14:solidFill>
              <w14:schemeClr w14:val="accent5"/>
            </w14:solidFill>
          </w14:textFill>
        </w:rPr>
        <w:t>2.学风建设总体满意度=（课堂听讲+课后</w:t>
      </w:r>
      <w:r>
        <w:rPr>
          <w:color w:val="0F6FC6" w:themeColor="accent5"/>
          <w:lang w:val="en-US"/>
          <w14:textFill>
            <w14:solidFill>
              <w14:schemeClr w14:val="accent5"/>
            </w14:solidFill>
          </w14:textFill>
        </w:rPr>
        <w:t>自习</w:t>
      </w:r>
      <w:r>
        <w:rPr>
          <w:rFonts w:hint="eastAsia"/>
          <w:color w:val="0F6FC6" w:themeColor="accent5"/>
          <w:lang w:val="en-US"/>
          <w14:textFill>
            <w14:solidFill>
              <w14:schemeClr w14:val="accent5"/>
            </w14:solidFill>
          </w14:textFill>
        </w:rPr>
        <w:t>+学习</w:t>
      </w:r>
      <w:r>
        <w:rPr>
          <w:color w:val="0F6FC6" w:themeColor="accent5"/>
          <w:lang w:val="en-US"/>
          <w14:textFill>
            <w14:solidFill>
              <w14:schemeClr w14:val="accent5"/>
            </w14:solidFill>
          </w14:textFill>
        </w:rPr>
        <w:t>交流</w:t>
      </w:r>
      <w:r>
        <w:rPr>
          <w:rFonts w:hint="eastAsia"/>
          <w:color w:val="0F6FC6" w:themeColor="accent5"/>
          <w:lang w:val="en-US"/>
          <w14:textFill>
            <w14:solidFill>
              <w14:schemeClr w14:val="accent5"/>
            </w14:solidFill>
          </w14:textFill>
        </w:rPr>
        <w:t>）/</w:t>
      </w:r>
      <w:r>
        <w:rPr>
          <w:color w:val="0F6FC6" w:themeColor="accent5"/>
          <w:lang w:val="en-US"/>
          <w14:textFill>
            <w14:solidFill>
              <w14:schemeClr w14:val="accent5"/>
            </w14:solidFill>
          </w14:textFill>
        </w:rPr>
        <w:t>3</w:t>
      </w:r>
      <w:r>
        <w:rPr>
          <w:rFonts w:hint="eastAsia"/>
          <w:color w:val="0F6FC6" w:themeColor="accent5"/>
          <w:lang w:val="en-US"/>
          <w14:textFill>
            <w14:solidFill>
              <w14:schemeClr w14:val="accent5"/>
            </w14:solidFill>
          </w14:textFill>
        </w:rPr>
        <w:t>。</w:t>
      </w:r>
      <w:r>
        <w:rPr>
          <w:rFonts w:hint="eastAsia"/>
          <w:color w:val="0F6FC6" w:themeColor="accent5"/>
          <w14:textFill>
            <w14:solidFill>
              <w14:schemeClr w14:val="accent5"/>
            </w14:solidFill>
          </w14:textFill>
        </w:rPr>
        <w:t>该百分比越高，毕业生反映越符合，表示毕业生对母校</w:t>
      </w:r>
      <w:r>
        <w:rPr>
          <w:color w:val="0F6FC6" w:themeColor="accent5"/>
          <w14:textFill>
            <w14:solidFill>
              <w14:schemeClr w14:val="accent5"/>
            </w14:solidFill>
          </w14:textFill>
        </w:rPr>
        <w:t>学风</w:t>
      </w:r>
      <w:r>
        <w:rPr>
          <w:rFonts w:hint="eastAsia"/>
          <w:color w:val="0F6FC6" w:themeColor="accent5"/>
          <w14:textFill>
            <w14:solidFill>
              <w14:schemeClr w14:val="accent5"/>
            </w14:solidFill>
          </w14:textFill>
        </w:rPr>
        <w:t>建设越满意。</w:t>
      </w:r>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3"/>
        <w:spacing w:before="312" w:beforeLines="100"/>
        <w:ind w:firstLine="482"/>
        <w:rPr>
          <w:rFonts w:eastAsia="宋体"/>
          <w:b/>
          <w:color w:val="0F6FC6" w:themeColor="accent5"/>
          <w14:textFill>
            <w14:solidFill>
              <w14:schemeClr w14:val="accent5"/>
            </w14:solidFill>
          </w14:textFill>
        </w:rPr>
      </w:pPr>
      <w:r>
        <w:rPr>
          <w:rFonts w:hint="eastAsia" w:eastAsia="宋体"/>
          <w:b/>
          <w:color w:val="0F6FC6" w:themeColor="accent5"/>
          <w14:textFill>
            <w14:solidFill>
              <w14:schemeClr w14:val="accent5"/>
            </w14:solidFill>
          </w14:textFill>
        </w:rPr>
        <w:t>4</w:t>
      </w:r>
      <w:r>
        <w:rPr>
          <w:rFonts w:eastAsia="宋体"/>
          <w:b/>
          <w:color w:val="0F6FC6" w:themeColor="accent5"/>
          <w14:textFill>
            <w14:solidFill>
              <w14:schemeClr w14:val="accent5"/>
            </w14:solidFill>
          </w14:textFill>
        </w:rPr>
        <w:t>.</w:t>
      </w:r>
      <w:r>
        <w:rPr>
          <w:rFonts w:hint="eastAsia" w:eastAsia="宋体"/>
          <w:b/>
          <w:color w:val="0F6FC6" w:themeColor="accent5"/>
          <w14:textFill>
            <w14:solidFill>
              <w14:schemeClr w14:val="accent5"/>
            </w14:solidFill>
          </w14:textFill>
        </w:rPr>
        <w:t>对课堂教学的评价</w:t>
      </w:r>
    </w:p>
    <w:p>
      <w:pPr>
        <w:pStyle w:val="135"/>
        <w:ind w:firstLine="480"/>
      </w:pPr>
      <w:r>
        <w:rPr>
          <w:rFonts w:hint="eastAsia"/>
        </w:rPr>
        <w:t>课堂教学是培养专业人才的基本环节，是高校教学中的一个重要组成部分。</w:t>
      </w:r>
    </w:p>
    <w:p>
      <w:pPr>
        <w:pStyle w:val="135"/>
        <w:ind w:firstLine="480"/>
      </w:pPr>
      <w:r>
        <w:rPr>
          <w:rFonts w:hint="eastAsia"/>
        </w:rPr>
        <w:t>2021届本科毕业生对课堂教学的总体满意度为96.63%，专科毕业生对课堂教学的总体满意度为95.38%。</w:t>
      </w:r>
    </w:p>
    <w:p>
      <w:pPr>
        <w:pStyle w:val="135"/>
        <w:ind w:firstLine="0" w:firstLineChars="0"/>
        <w:jc w:val="center"/>
      </w:pPr>
      <w:r>
        <w:rPr>
          <w:rFonts w:hint="eastAsia" w:eastAsia="黑体"/>
          <w:b/>
          <w:szCs w:val="21"/>
        </w:rPr>
        <w:drawing>
          <wp:inline distT="0" distB="0" distL="0" distR="0">
            <wp:extent cx="5676265" cy="2303780"/>
            <wp:effectExtent l="0" t="0" r="635" b="1270"/>
            <wp:docPr id="974" name="图表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80"/>
      </w:pPr>
      <w:bookmarkStart w:id="317" w:name="_Toc521678901"/>
      <w:r>
        <w:rPr>
          <w:rFonts w:hint="eastAsia"/>
        </w:rPr>
        <w:t xml:space="preserve">图6- </w:t>
      </w:r>
      <w:r>
        <w:fldChar w:fldCharType="begin"/>
      </w:r>
      <w:r>
        <w:instrText xml:space="preserve"> </w:instrText>
      </w:r>
      <w:r>
        <w:rPr>
          <w:rFonts w:hint="eastAsia"/>
        </w:rPr>
        <w:instrText xml:space="preserve">SEQ 图7- \* ARABIC</w:instrText>
      </w:r>
      <w:r>
        <w:instrText xml:space="preserve"> </w:instrText>
      </w:r>
      <w:r>
        <w:fldChar w:fldCharType="separate"/>
      </w:r>
      <w:r>
        <w:t>5</w:t>
      </w:r>
      <w:r>
        <w:fldChar w:fldCharType="end"/>
      </w:r>
      <w:r>
        <w:rPr>
          <w:bCs/>
          <w:caps w:val="0"/>
        </w:rPr>
        <w:t xml:space="preserve">  </w:t>
      </w:r>
      <w:r>
        <w:t>2021届</w:t>
      </w:r>
      <w:r>
        <w:rPr>
          <w:rFonts w:hint="eastAsia"/>
        </w:rPr>
        <w:t>毕业生对课堂教学各方面评价的分布</w:t>
      </w:r>
      <w:bookmarkEnd w:id="317"/>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注</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1</w:t>
      </w:r>
      <w:r>
        <w:rPr>
          <w:color w:val="0F6FC6" w:themeColor="accent5"/>
          <w14:textFill>
            <w14:solidFill>
              <w14:schemeClr w14:val="accent5"/>
            </w14:solidFill>
          </w14:textFill>
        </w:rPr>
        <w:t>.</w:t>
      </w:r>
      <w:r>
        <w:rPr>
          <w:rFonts w:hint="eastAsia"/>
          <w:color w:val="0F6FC6" w:themeColor="accent5"/>
          <w14:textFill>
            <w14:solidFill>
              <w14:schemeClr w14:val="accent5"/>
            </w14:solidFill>
          </w14:textFill>
        </w:rPr>
        <w:t>毕业生对课程教学的评价，其评价</w:t>
      </w:r>
      <w:r>
        <w:rPr>
          <w:color w:val="0F6FC6" w:themeColor="accent5"/>
          <w14:textFill>
            <w14:solidFill>
              <w14:schemeClr w14:val="accent5"/>
            </w14:solidFill>
          </w14:textFill>
        </w:rPr>
        <w:t>维度</w:t>
      </w:r>
      <w:r>
        <w:rPr>
          <w:rFonts w:hint="eastAsia"/>
          <w:color w:val="0F6FC6" w:themeColor="accent5"/>
          <w14:textFill>
            <w14:solidFill>
              <w14:schemeClr w14:val="accent5"/>
            </w14:solidFill>
          </w14:textFill>
        </w:rPr>
        <w:t>包括“很符合”、“符合”、“基本符合”、“不符合”、“很不符合”和“无法评价”，其中，符合度为选择“很符合”、“符合”和“基本符合”的人数占“此题总人数—无法评价人数”的比例。该百分比越高，毕业生反映越符合，表示毕业生对课堂教学越满意。</w:t>
      </w:r>
    </w:p>
    <w:p>
      <w:pPr>
        <w:pStyle w:val="118"/>
        <w:ind w:firstLine="739" w:firstLineChars="411"/>
        <w:rPr>
          <w:color w:val="0F6FC6" w:themeColor="accent5"/>
          <w14:textFill>
            <w14:solidFill>
              <w14:schemeClr w14:val="accent5"/>
            </w14:solidFill>
          </w14:textFill>
        </w:rPr>
      </w:pPr>
      <w:r>
        <w:rPr>
          <w:color w:val="0F6FC6" w:themeColor="accent5"/>
          <w14:textFill>
            <w14:solidFill>
              <w14:schemeClr w14:val="accent5"/>
            </w14:solidFill>
          </w14:textFill>
        </w:rPr>
        <w:t>2.</w:t>
      </w:r>
      <w:r>
        <w:rPr>
          <w:rFonts w:hint="eastAsia"/>
          <w:color w:val="0F6FC6" w:themeColor="accent5"/>
          <w14:textFill>
            <w14:solidFill>
              <w14:schemeClr w14:val="accent5"/>
            </w14:solidFill>
          </w14:textFill>
        </w:rPr>
        <w:t>课堂教学总体满意度=（课程目标+课程纪律+师生互动+反馈指导+教学效果）/5。</w:t>
      </w:r>
    </w:p>
    <w:p>
      <w:pPr>
        <w:pStyle w:val="118"/>
        <w:ind w:firstLine="360"/>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43"/>
        <w:spacing w:before="312" w:beforeLines="100"/>
        <w:ind w:firstLine="482"/>
        <w:rPr>
          <w:rFonts w:eastAsia="宋体"/>
          <w:b/>
          <w:color w:val="0F6FC6" w:themeColor="accent5"/>
          <w14:textFill>
            <w14:solidFill>
              <w14:schemeClr w14:val="accent5"/>
            </w14:solidFill>
          </w14:textFill>
        </w:rPr>
      </w:pPr>
      <w:r>
        <w:rPr>
          <w:rFonts w:eastAsia="宋体"/>
          <w:b/>
          <w:color w:val="0F6FC6" w:themeColor="accent5"/>
          <w14:textFill>
            <w14:solidFill>
              <w14:schemeClr w14:val="accent5"/>
            </w14:solidFill>
          </w14:textFill>
        </w:rPr>
        <w:t>5.</w:t>
      </w:r>
      <w:r>
        <w:rPr>
          <w:rFonts w:hint="eastAsia" w:eastAsia="宋体"/>
          <w:b/>
          <w:color w:val="0F6FC6" w:themeColor="accent5"/>
          <w14:textFill>
            <w14:solidFill>
              <w14:schemeClr w14:val="accent5"/>
            </w14:solidFill>
          </w14:textFill>
        </w:rPr>
        <w:t>对实践教学的评价</w:t>
      </w:r>
    </w:p>
    <w:p>
      <w:pPr>
        <w:pStyle w:val="135"/>
        <w:ind w:firstLine="480"/>
        <w:rPr>
          <w:rFonts w:ascii="宋体" w:hAnsi="宋体"/>
        </w:rPr>
      </w:pPr>
      <w:r>
        <w:rPr>
          <w:rFonts w:hint="eastAsia" w:ascii="宋体" w:hAnsi="宋体" w:cs="Times New Roman"/>
        </w:rPr>
        <w:t>实践教学是培养专业人才的基本环节，是高校教学中的一个重要组成部分，同时还是确保高校教学质量和毕业生与当前社会需求契合度的关键因素。</w:t>
      </w:r>
      <w:r>
        <w:rPr>
          <w:rFonts w:hint="eastAsia"/>
          <w:color w:val="auto"/>
        </w:rPr>
        <w:t>2021届本科毕业生对母校实践教学总体满意度为92.93%，</w:t>
      </w:r>
      <w:r>
        <w:rPr>
          <w:color w:val="auto"/>
        </w:rPr>
        <w:t>专科毕业生</w:t>
      </w:r>
      <w:r>
        <w:rPr>
          <w:rFonts w:hint="eastAsia"/>
          <w:color w:val="auto"/>
        </w:rPr>
        <w:t>对母校实践教学总体</w:t>
      </w:r>
      <w:r>
        <w:rPr>
          <w:color w:val="auto"/>
        </w:rPr>
        <w:t>满意度</w:t>
      </w:r>
      <w:r>
        <w:rPr>
          <w:rFonts w:hint="eastAsia"/>
          <w:color w:val="auto"/>
        </w:rPr>
        <w:t>为94.57%。</w:t>
      </w:r>
      <w:r>
        <w:rPr>
          <w:rFonts w:ascii="宋体" w:hAnsi="宋体"/>
        </w:rPr>
        <w:t>可见</w:t>
      </w:r>
      <w:r>
        <w:rPr>
          <w:rFonts w:hint="eastAsia" w:ascii="宋体" w:hAnsi="宋体"/>
        </w:rPr>
        <w:t>学校实践</w:t>
      </w:r>
      <w:r>
        <w:rPr>
          <w:rFonts w:ascii="宋体" w:hAnsi="宋体"/>
        </w:rPr>
        <w:t>教学</w:t>
      </w:r>
      <w:r>
        <w:rPr>
          <w:rFonts w:hint="eastAsia" w:ascii="宋体" w:hAnsi="宋体"/>
        </w:rPr>
        <w:t>各</w:t>
      </w:r>
      <w:r>
        <w:rPr>
          <w:rFonts w:ascii="宋体" w:hAnsi="宋体"/>
        </w:rPr>
        <w:t>方面</w:t>
      </w:r>
      <w:r>
        <w:rPr>
          <w:rFonts w:hint="eastAsia" w:ascii="宋体" w:hAnsi="宋体"/>
        </w:rPr>
        <w:t>均得到了</w:t>
      </w:r>
      <w:r>
        <w:rPr>
          <w:rFonts w:ascii="宋体" w:hAnsi="宋体"/>
        </w:rPr>
        <w:t>毕业生的</w:t>
      </w:r>
      <w:r>
        <w:rPr>
          <w:rFonts w:hint="eastAsia" w:ascii="宋体" w:hAnsi="宋体"/>
        </w:rPr>
        <w:t>广泛</w:t>
      </w:r>
      <w:r>
        <w:rPr>
          <w:rFonts w:ascii="宋体" w:hAnsi="宋体"/>
        </w:rPr>
        <w:t>认可</w:t>
      </w:r>
      <w:r>
        <w:rPr>
          <w:rFonts w:hint="eastAsia" w:ascii="宋体" w:hAnsi="宋体"/>
        </w:rPr>
        <w:t>。</w:t>
      </w:r>
    </w:p>
    <w:p>
      <w:pPr>
        <w:pStyle w:val="135"/>
        <w:ind w:firstLine="0" w:firstLineChars="0"/>
        <w:jc w:val="center"/>
        <w:rPr>
          <w:rFonts w:ascii="宋体" w:hAnsi="宋体"/>
        </w:rPr>
      </w:pPr>
      <w:r>
        <w:rPr>
          <w:rFonts w:hint="eastAsia" w:eastAsia="黑体"/>
          <w:b/>
          <w:color w:val="000000" w:themeColor="text1"/>
          <w:szCs w:val="21"/>
          <w14:textFill>
            <w14:solidFill>
              <w14:schemeClr w14:val="tx1"/>
            </w14:solidFill>
          </w14:textFill>
        </w:rPr>
        <w:drawing>
          <wp:inline distT="0" distB="0" distL="0" distR="0">
            <wp:extent cx="5553075" cy="2219325"/>
            <wp:effectExtent l="0" t="0" r="0" b="0"/>
            <wp:docPr id="975" name="图表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180"/>
        <w:tabs>
          <w:tab w:val="left" w:pos="400"/>
          <w:tab w:val="center" w:pos="4394"/>
        </w:tabs>
        <w:rPr>
          <w:bCs/>
        </w:rPr>
      </w:pPr>
      <w:bookmarkStart w:id="318" w:name="_Toc521678902"/>
      <w:r>
        <w:rPr>
          <w:rFonts w:hint="eastAsia"/>
        </w:rPr>
        <w:t xml:space="preserve">图6- </w:t>
      </w:r>
      <w:r>
        <w:fldChar w:fldCharType="begin"/>
      </w:r>
      <w:r>
        <w:instrText xml:space="preserve"> </w:instrText>
      </w:r>
      <w:r>
        <w:rPr>
          <w:rFonts w:hint="eastAsia"/>
        </w:rPr>
        <w:instrText xml:space="preserve">SEQ 图7- \* ARABIC</w:instrText>
      </w:r>
      <w:r>
        <w:instrText xml:space="preserve"> </w:instrText>
      </w:r>
      <w:r>
        <w:fldChar w:fldCharType="separate"/>
      </w:r>
      <w:r>
        <w:t>6</w:t>
      </w:r>
      <w:r>
        <w:fldChar w:fldCharType="end"/>
      </w:r>
      <w:r>
        <w:rPr>
          <w:bCs/>
          <w:caps w:val="0"/>
        </w:rPr>
        <w:t xml:space="preserve">  </w:t>
      </w:r>
      <w:r>
        <w:rPr>
          <w:rFonts w:hint="eastAsia" w:eastAsia="宋体"/>
          <w:bCs/>
        </w:rPr>
        <w:t>2021</w:t>
      </w:r>
      <w:r>
        <w:rPr>
          <w:rFonts w:hint="eastAsia"/>
          <w:bCs/>
        </w:rPr>
        <w:t>届毕业生对实践教学</w:t>
      </w:r>
      <w:r>
        <w:rPr>
          <w:bCs/>
        </w:rPr>
        <w:t>的</w:t>
      </w:r>
      <w:r>
        <w:rPr>
          <w:rFonts w:hint="eastAsia"/>
          <w:bCs/>
        </w:rPr>
        <w:t>评价</w:t>
      </w:r>
      <w:bookmarkEnd w:id="318"/>
    </w:p>
    <w:p>
      <w:pPr>
        <w:pStyle w:val="118"/>
        <w:ind w:firstLine="360"/>
        <w:jc w:val="both"/>
        <w:rPr>
          <w:color w:val="0F6FC6" w:themeColor="accent5"/>
          <w:lang w:val="en-US"/>
          <w14:textFill>
            <w14:solidFill>
              <w14:schemeClr w14:val="accent5"/>
            </w14:solidFill>
          </w14:textFill>
        </w:rPr>
      </w:pPr>
      <w:r>
        <w:rPr>
          <w:rFonts w:hint="eastAsia"/>
          <w:color w:val="0F6FC6" w:themeColor="accent5"/>
          <w:lang w:val="en-US"/>
          <w14:textFill>
            <w14:solidFill>
              <w14:schemeClr w14:val="accent5"/>
            </w14:solidFill>
          </w14:textFill>
        </w:rPr>
        <w:t>注：1</w:t>
      </w:r>
      <w:r>
        <w:rPr>
          <w:color w:val="0F6FC6" w:themeColor="accent5"/>
          <w:lang w:val="en-US"/>
          <w14:textFill>
            <w14:solidFill>
              <w14:schemeClr w14:val="accent5"/>
            </w14:solidFill>
          </w14:textFill>
        </w:rPr>
        <w:t>.</w:t>
      </w:r>
      <w:r>
        <w:rPr>
          <w:color w:val="0F6FC6" w:themeColor="accent5"/>
          <w14:textFill>
            <w14:solidFill>
              <w14:schemeClr w14:val="accent5"/>
            </w14:solidFill>
          </w14:textFill>
        </w:rPr>
        <w:t>毕业生</w:t>
      </w:r>
      <w:r>
        <w:rPr>
          <w:rFonts w:hint="eastAsia"/>
          <w:color w:val="0F6FC6" w:themeColor="accent5"/>
          <w14:textFill>
            <w14:solidFill>
              <w14:schemeClr w14:val="accent5"/>
            </w14:solidFill>
          </w14:textFill>
        </w:rPr>
        <w:t>认为母校实践教学各环节的帮助情况，其评价</w:t>
      </w:r>
      <w:r>
        <w:rPr>
          <w:color w:val="0F6FC6" w:themeColor="accent5"/>
          <w14:textFill>
            <w14:solidFill>
              <w14:schemeClr w14:val="accent5"/>
            </w14:solidFill>
          </w14:textFill>
        </w:rPr>
        <w:t>维度</w:t>
      </w:r>
      <w:r>
        <w:rPr>
          <w:rFonts w:hint="eastAsia"/>
          <w:color w:val="0F6FC6" w:themeColor="accent5"/>
          <w14:textFill>
            <w14:solidFill>
              <w14:schemeClr w14:val="accent5"/>
            </w14:solidFill>
          </w14:textFill>
        </w:rPr>
        <w:t>包括“很符合”、“符合”、“基本符合”、“不符合”、“很不符合”和“无法评价”。其中，符合度为选择“很符合”、“符合”和“基本符合”的人数占“此题总人数—无法评价人数”的比例。</w:t>
      </w:r>
      <w:r>
        <w:rPr>
          <w:rFonts w:hint="eastAsia"/>
          <w:color w:val="0F6FC6" w:themeColor="accent5"/>
          <w:lang w:val="en-US"/>
          <w14:textFill>
            <w14:solidFill>
              <w14:schemeClr w14:val="accent5"/>
            </w14:solidFill>
          </w14:textFill>
        </w:rPr>
        <w:t>该百分比越高，表示毕业生对实践</w:t>
      </w:r>
      <w:r>
        <w:rPr>
          <w:color w:val="0F6FC6" w:themeColor="accent5"/>
          <w:lang w:val="en-US"/>
          <w14:textFill>
            <w14:solidFill>
              <w14:schemeClr w14:val="accent5"/>
            </w14:solidFill>
          </w14:textFill>
        </w:rPr>
        <w:t>教学</w:t>
      </w:r>
      <w:r>
        <w:rPr>
          <w:rFonts w:hint="eastAsia"/>
          <w:color w:val="0F6FC6" w:themeColor="accent5"/>
          <w:lang w:val="en-US"/>
          <w14:textFill>
            <w14:solidFill>
              <w14:schemeClr w14:val="accent5"/>
            </w14:solidFill>
          </w14:textFill>
        </w:rPr>
        <w:t>越满意。</w:t>
      </w:r>
    </w:p>
    <w:p>
      <w:pPr>
        <w:pStyle w:val="118"/>
        <w:ind w:firstLine="720" w:firstLineChars="400"/>
        <w:jc w:val="both"/>
        <w:rPr>
          <w:color w:val="0F6FC6" w:themeColor="accent5"/>
          <w14:textFill>
            <w14:solidFill>
              <w14:schemeClr w14:val="accent5"/>
            </w14:solidFill>
          </w14:textFill>
        </w:rPr>
      </w:pPr>
      <w:r>
        <w:rPr>
          <w:color w:val="0F6FC6" w:themeColor="accent5"/>
          <w:lang w:val="en-US"/>
          <w14:textFill>
            <w14:solidFill>
              <w14:schemeClr w14:val="accent5"/>
            </w14:solidFill>
          </w14:textFill>
        </w:rPr>
        <w:t>2.</w:t>
      </w:r>
      <w:r>
        <w:rPr>
          <w:rFonts w:hint="eastAsia"/>
          <w:color w:val="0F6FC6" w:themeColor="accent5"/>
          <w:lang w:val="en-US"/>
          <w14:textFill>
            <w14:solidFill>
              <w14:schemeClr w14:val="accent5"/>
            </w14:solidFill>
          </w14:textFill>
        </w:rPr>
        <w:t>实践教学总体满意度=（实践教学内容</w:t>
      </w:r>
      <w:r>
        <w:rPr>
          <w:color w:val="0F6FC6" w:themeColor="accent5"/>
          <w:lang w:val="en-US"/>
          <w14:textFill>
            <w14:solidFill>
              <w14:schemeClr w14:val="accent5"/>
            </w14:solidFill>
          </w14:textFill>
        </w:rPr>
        <w:t>实用性</w:t>
      </w:r>
      <w:r>
        <w:rPr>
          <w:rFonts w:hint="eastAsia"/>
          <w:color w:val="0F6FC6" w:themeColor="accent5"/>
          <w:lang w:val="en-US"/>
          <w14:textFill>
            <w14:solidFill>
              <w14:schemeClr w14:val="accent5"/>
            </w14:solidFill>
          </w14:textFill>
        </w:rPr>
        <w:t>+实践教学</w:t>
      </w:r>
      <w:r>
        <w:rPr>
          <w:color w:val="0F6FC6" w:themeColor="accent5"/>
          <w:lang w:val="en-US"/>
          <w14:textFill>
            <w14:solidFill>
              <w14:schemeClr w14:val="accent5"/>
            </w14:solidFill>
          </w14:textFill>
        </w:rPr>
        <w:t>开展充分性</w:t>
      </w:r>
      <w:r>
        <w:rPr>
          <w:rFonts w:hint="eastAsia"/>
          <w:color w:val="0F6FC6" w:themeColor="accent5"/>
          <w:lang w:val="en-US"/>
          <w14:textFill>
            <w14:solidFill>
              <w14:schemeClr w14:val="accent5"/>
            </w14:solidFill>
          </w14:textFill>
        </w:rPr>
        <w:t>+实践教学</w:t>
      </w:r>
      <w:r>
        <w:rPr>
          <w:color w:val="0F6FC6" w:themeColor="accent5"/>
          <w:lang w:val="en-US"/>
          <w14:textFill>
            <w14:solidFill>
              <w14:schemeClr w14:val="accent5"/>
            </w14:solidFill>
          </w14:textFill>
        </w:rPr>
        <w:t>组织管理有效性</w:t>
      </w:r>
      <w:r>
        <w:rPr>
          <w:rFonts w:hint="eastAsia"/>
          <w:color w:val="0F6FC6" w:themeColor="accent5"/>
          <w:lang w:val="en-US"/>
          <w14:textFill>
            <w14:solidFill>
              <w14:schemeClr w14:val="accent5"/>
            </w14:solidFill>
          </w14:textFill>
        </w:rPr>
        <w:t>）/</w:t>
      </w:r>
      <w:r>
        <w:rPr>
          <w:color w:val="0F6FC6" w:themeColor="accent5"/>
          <w:lang w:val="en-US"/>
          <w14:textFill>
            <w14:solidFill>
              <w14:schemeClr w14:val="accent5"/>
            </w14:solidFill>
          </w14:textFill>
        </w:rPr>
        <w:t>3</w:t>
      </w:r>
      <w:r>
        <w:rPr>
          <w:rFonts w:hint="eastAsia"/>
          <w:color w:val="0F6FC6" w:themeColor="accent5"/>
          <w:lang w:val="en-US"/>
          <w14:textFill>
            <w14:solidFill>
              <w14:schemeClr w14:val="accent5"/>
            </w14:solidFill>
          </w14:textFill>
        </w:rPr>
        <w:t>。</w:t>
      </w:r>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-2021届</w:t>
      </w:r>
      <w:r>
        <w:rPr>
          <w:rFonts w:hint="eastAsia"/>
          <w:color w:val="0F6FC6" w:themeColor="accent5"/>
          <w14:textFill>
            <w14:solidFill>
              <w14:schemeClr w14:val="accent5"/>
            </w14:solidFill>
          </w14:textFill>
        </w:rPr>
        <w:t>毕业生就业与培养质量调查。</w:t>
      </w:r>
    </w:p>
    <w:p>
      <w:pPr>
        <w:pStyle w:val="151"/>
        <w:rPr>
          <w:color w:val="0F6FC6" w:themeColor="accent5"/>
          <w14:textFill>
            <w14:solidFill>
              <w14:schemeClr w14:val="accent5"/>
            </w14:solidFill>
          </w14:textFill>
        </w:rPr>
      </w:pPr>
      <w:bookmarkStart w:id="319" w:name="_Toc16673866"/>
      <w:bookmarkStart w:id="320" w:name="_Toc17120673"/>
      <w:bookmarkStart w:id="321" w:name="_Toc17272031"/>
      <w:bookmarkStart w:id="322" w:name="_Toc22050331"/>
      <w:bookmarkStart w:id="323" w:name="_Toc92706766"/>
      <w:bookmarkStart w:id="324" w:name="_Hlk520979808"/>
      <w:r>
        <w:rPr>
          <w:rFonts w:hint="eastAsia"/>
          <w:color w:val="0F6FC6" w:themeColor="accent5"/>
          <w14:textFill>
            <w14:solidFill>
              <w14:schemeClr w14:val="accent5"/>
            </w14:solidFill>
          </w14:textFill>
        </w:rPr>
        <w:t>（三）基础能力</w:t>
      </w:r>
      <w:r>
        <w:rPr>
          <w:color w:val="0F6FC6" w:themeColor="accent5"/>
          <w14:textFill>
            <w14:solidFill>
              <w14:schemeClr w14:val="accent5"/>
            </w14:solidFill>
          </w14:textFill>
        </w:rPr>
        <w:t>素质</w:t>
      </w:r>
      <w:bookmarkEnd w:id="319"/>
      <w:bookmarkEnd w:id="320"/>
      <w:bookmarkEnd w:id="321"/>
      <w:bookmarkEnd w:id="322"/>
      <w:bookmarkEnd w:id="323"/>
    </w:p>
    <w:bookmarkEnd w:id="324"/>
    <w:p>
      <w:pPr>
        <w:spacing w:line="360" w:lineRule="auto"/>
        <w:ind w:firstLine="480" w:firstLineChars="200"/>
        <w:jc w:val="both"/>
      </w:pPr>
      <w:r>
        <w:rPr>
          <w:rFonts w:hint="eastAsia"/>
        </w:rPr>
        <w:t>毕业生应根据自己的人生目标和社会经济发展的需求，努力提高综合素质，塑造良好的道德品质，梳理全新的就业观念，努力适应新时代的发展要求。</w:t>
      </w:r>
      <w:r>
        <w:t>针对当代大学生的特点及高校培养人才模式,</w:t>
      </w:r>
      <w:r>
        <w:rPr>
          <w:rFonts w:hint="eastAsia"/>
        </w:rPr>
        <w:t>总结</w:t>
      </w:r>
      <w:r>
        <w:t>提出</w:t>
      </w:r>
      <w:r>
        <w:rPr>
          <w:rFonts w:hint="eastAsia"/>
        </w:rPr>
        <w:t>了以下多项</w:t>
      </w:r>
      <w:r>
        <w:t>当代大学生</w:t>
      </w:r>
      <w:r>
        <w:rPr>
          <w:rFonts w:hint="eastAsia"/>
        </w:rPr>
        <w:t>需具备的基础能力和专业素质能力。此次调查内容主要是毕业生对自身各项能力水平的重要度、水平及其满足目前工作需求程度的评价，对于学校优化人才培养模式具有一定的参考意义。具体内容如下所示。</w:t>
      </w:r>
    </w:p>
    <w:p>
      <w:pPr>
        <w:pStyle w:val="135"/>
        <w:spacing w:before="156" w:beforeLines="50" w:after="156" w:afterLines="50"/>
        <w:ind w:firstLine="482"/>
      </w:pPr>
      <w:r>
        <w:rPr>
          <w:rFonts w:hint="eastAsia"/>
          <w:b/>
          <w:color w:val="0F6FC6" w:themeColor="accent5"/>
          <w14:textFill>
            <w14:solidFill>
              <w14:schemeClr w14:val="accent5"/>
            </w14:solidFill>
          </w14:textFill>
        </w:rPr>
        <w:t>对基础能力素质的评价：</w:t>
      </w:r>
      <w:r>
        <w:rPr>
          <w:lang w:val="zh-CN"/>
        </w:rPr>
        <w:t>对于目前工作需求</w:t>
      </w:r>
      <w:r>
        <w:rPr>
          <w:rFonts w:hint="eastAsia"/>
          <w:lang w:val="zh-CN"/>
        </w:rPr>
        <w:t>而言</w:t>
      </w:r>
      <w:r>
        <w:t>，</w:t>
      </w:r>
      <w:r>
        <w:rPr>
          <w:rFonts w:hint="eastAsia"/>
          <w:lang w:val="zh-CN"/>
        </w:rPr>
        <w:t>学校</w:t>
      </w:r>
      <w:r>
        <w:rPr>
          <w:rFonts w:hint="eastAsia"/>
        </w:rPr>
        <w:t>2021</w:t>
      </w:r>
      <w:r>
        <w:rPr>
          <w:rFonts w:hint="eastAsia"/>
          <w:lang w:val="zh-CN"/>
        </w:rPr>
        <w:t>届</w:t>
      </w:r>
      <w:r>
        <w:rPr>
          <w:lang w:val="zh-CN"/>
        </w:rPr>
        <w:t>本科毕业生认为重要</w:t>
      </w:r>
      <w:r>
        <w:rPr>
          <w:rFonts w:hint="eastAsia"/>
          <w:lang w:val="zh-CN"/>
        </w:rPr>
        <w:t>性</w:t>
      </w:r>
      <w:r>
        <w:rPr>
          <w:lang w:val="zh-CN"/>
        </w:rPr>
        <w:t>排名前十位的</w:t>
      </w:r>
      <w:r>
        <w:rPr>
          <w:rFonts w:hint="eastAsia"/>
          <w:lang w:val="zh-CN"/>
        </w:rPr>
        <w:t>基础能力素质</w:t>
      </w:r>
      <w:r>
        <w:rPr>
          <w:lang w:val="zh-CN"/>
        </w:rPr>
        <w:t>依次为</w:t>
      </w:r>
      <w:r>
        <w:t>：</w:t>
      </w:r>
      <w:r>
        <w:rPr>
          <w:rFonts w:hint="eastAsia"/>
        </w:rPr>
        <w:t>主动学习、表达能力、团队意识、逻辑思维、创新思维、严谨负责、情绪调节、坚韧自信、外向主动和组织协调；</w:t>
      </w:r>
      <w:r>
        <w:rPr>
          <w:rFonts w:hint="eastAsia"/>
          <w:lang w:val="zh-CN"/>
        </w:rPr>
        <w:t>而自身</w:t>
      </w:r>
      <w:r>
        <w:rPr>
          <w:lang w:val="zh-CN"/>
        </w:rPr>
        <w:t>这</w:t>
      </w:r>
      <w:r>
        <w:rPr>
          <w:rFonts w:hint="eastAsia"/>
          <w:lang w:val="zh-CN"/>
        </w:rPr>
        <w:t>十项基础</w:t>
      </w:r>
      <w:r>
        <w:rPr>
          <w:lang w:val="zh-CN"/>
        </w:rPr>
        <w:t>能力</w:t>
      </w:r>
      <w:r>
        <w:rPr>
          <w:rFonts w:hint="eastAsia"/>
          <w:lang w:val="zh-CN"/>
        </w:rPr>
        <w:t>素质的水平均在</w:t>
      </w:r>
      <w:r>
        <w:rPr>
          <w:rFonts w:hint="eastAsia" w:cs="Times New Roman"/>
        </w:rPr>
        <w:t>3.28</w:t>
      </w:r>
      <w:r>
        <w:rPr>
          <w:rFonts w:hint="eastAsia"/>
          <w:lang w:val="zh-CN"/>
        </w:rPr>
        <w:t>分及</w:t>
      </w:r>
      <w:r>
        <w:rPr>
          <w:lang w:val="zh-CN"/>
        </w:rPr>
        <w:t>以上</w:t>
      </w:r>
      <w:r>
        <w:t>；</w:t>
      </w:r>
      <w:r>
        <w:rPr>
          <w:lang w:val="zh-CN"/>
        </w:rPr>
        <w:t>其中</w:t>
      </w:r>
      <w:r>
        <w:rPr>
          <w:rFonts w:ascii="宋体" w:hAnsi="宋体"/>
        </w:rPr>
        <w:t>“</w:t>
      </w:r>
      <w:r>
        <w:rPr>
          <w:rFonts w:hint="eastAsia"/>
        </w:rPr>
        <w:t>团队意识</w:t>
      </w:r>
      <w:r>
        <w:rPr>
          <w:rFonts w:ascii="宋体" w:hAnsi="宋体"/>
        </w:rPr>
        <w:t>”</w:t>
      </w:r>
      <w:r>
        <w:rPr>
          <w:rFonts w:hint="eastAsia" w:ascii="宋体" w:hAnsi="宋体"/>
          <w:lang w:val="zh-CN"/>
        </w:rPr>
        <w:t>和</w:t>
      </w:r>
      <w:r>
        <w:rPr>
          <w:rFonts w:hint="eastAsia" w:ascii="宋体" w:hAnsi="宋体"/>
        </w:rPr>
        <w:t>“</w:t>
      </w:r>
      <w:r>
        <w:rPr>
          <w:rFonts w:hint="eastAsia"/>
        </w:rPr>
        <w:t>主动学习</w:t>
      </w:r>
      <w:r>
        <w:rPr>
          <w:rFonts w:hint="eastAsia" w:ascii="宋体" w:hAnsi="宋体"/>
        </w:rPr>
        <w:t>”</w:t>
      </w:r>
      <w:r>
        <w:rPr>
          <w:rFonts w:hint="eastAsia"/>
          <w:lang w:val="zh-CN"/>
        </w:rPr>
        <w:t>的水平相对</w:t>
      </w:r>
      <w:r>
        <w:rPr>
          <w:lang w:val="zh-CN"/>
        </w:rPr>
        <w:t>较高</w:t>
      </w:r>
      <w:r>
        <w:t>，</w:t>
      </w:r>
      <w:r>
        <w:rPr>
          <w:rFonts w:hint="eastAsia"/>
          <w:lang w:val="zh-CN"/>
        </w:rPr>
        <w:t>均值分别为</w:t>
      </w:r>
      <w:r>
        <w:rPr>
          <w:rFonts w:hint="eastAsia"/>
        </w:rPr>
        <w:t>4.03</w:t>
      </w:r>
      <w:r>
        <w:rPr>
          <w:rFonts w:hint="eastAsia"/>
          <w:lang w:val="zh-CN"/>
        </w:rPr>
        <w:t>分</w:t>
      </w:r>
      <w:r>
        <w:rPr>
          <w:lang w:val="zh-CN"/>
        </w:rPr>
        <w:t>和</w:t>
      </w:r>
      <w:r>
        <w:rPr>
          <w:rFonts w:hint="eastAsia"/>
        </w:rPr>
        <w:t>3.76</w:t>
      </w:r>
      <w:r>
        <w:rPr>
          <w:rFonts w:hint="eastAsia"/>
          <w:lang w:val="zh-CN"/>
        </w:rPr>
        <w:t>分</w:t>
      </w:r>
      <w:r>
        <w:rPr>
          <w:lang w:val="zh-CN"/>
        </w:rPr>
        <w:t>。</w:t>
      </w:r>
    </w:p>
    <w:p>
      <w:pPr>
        <w:pStyle w:val="135"/>
        <w:spacing w:before="156" w:beforeLines="50" w:after="156" w:afterLines="50"/>
        <w:ind w:firstLine="0" w:firstLineChars="0"/>
        <w:jc w:val="center"/>
        <w:rPr>
          <w:rStyle w:val="37"/>
          <w:b w:val="0"/>
          <w:bCs w:val="0"/>
          <w:lang w:val="zh-CN"/>
        </w:rPr>
      </w:pPr>
      <w:r>
        <w:drawing>
          <wp:inline distT="0" distB="0" distL="0" distR="0">
            <wp:extent cx="5400675" cy="3590925"/>
            <wp:effectExtent l="0" t="0" r="0" b="317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180"/>
        <w:tabs>
          <w:tab w:val="left" w:pos="400"/>
          <w:tab w:val="center" w:pos="4394"/>
        </w:tabs>
      </w:pPr>
      <w:bookmarkStart w:id="325" w:name="_Toc521678908"/>
      <w:r>
        <w:rPr>
          <w:rFonts w:hint="eastAsia"/>
        </w:rPr>
        <w:t xml:space="preserve">图6- </w:t>
      </w:r>
      <w:r>
        <w:fldChar w:fldCharType="begin"/>
      </w:r>
      <w:r>
        <w:instrText xml:space="preserve"> </w:instrText>
      </w:r>
      <w:r>
        <w:rPr>
          <w:rFonts w:hint="eastAsia"/>
        </w:rPr>
        <w:instrText xml:space="preserve">SEQ 图7- \* ARABIC</w:instrText>
      </w:r>
      <w:r>
        <w:instrText xml:space="preserve"> </w:instrText>
      </w:r>
      <w:r>
        <w:fldChar w:fldCharType="separate"/>
      </w:r>
      <w:r>
        <w:t>7</w:t>
      </w:r>
      <w:r>
        <w:fldChar w:fldCharType="end"/>
      </w:r>
      <w:r>
        <w:rPr>
          <w:bCs/>
          <w:caps w:val="0"/>
        </w:rPr>
        <w:t xml:space="preserve">  </w:t>
      </w:r>
      <w:r>
        <w:rPr>
          <w:rFonts w:hint="eastAsia" w:eastAsia="宋体"/>
        </w:rPr>
        <w:t>2021</w:t>
      </w:r>
      <w:r>
        <w:rPr>
          <w:rFonts w:hint="eastAsia"/>
          <w:bCs/>
        </w:rPr>
        <w:t>届本科毕业生认为重要性占比</w:t>
      </w:r>
      <w:r>
        <w:rPr>
          <w:bCs/>
        </w:rPr>
        <w:t>排名前十位的</w:t>
      </w:r>
      <w:r>
        <w:rPr>
          <w:rFonts w:hint="eastAsia"/>
          <w:bCs/>
        </w:rPr>
        <w:t>基础能力及其水平</w:t>
      </w:r>
      <w:bookmarkEnd w:id="325"/>
      <w:r>
        <w:t xml:space="preserve"> </w:t>
      </w:r>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p>
      <w:pPr>
        <w:pStyle w:val="135"/>
        <w:spacing w:before="156" w:beforeLines="50" w:after="156" w:afterLines="50"/>
        <w:ind w:firstLine="480"/>
        <w:rPr>
          <w:lang w:val="zh-CN"/>
        </w:rPr>
      </w:pPr>
      <w:r>
        <w:rPr>
          <w:lang w:val="zh-CN"/>
        </w:rPr>
        <w:t>对于目前工作需求</w:t>
      </w:r>
      <w:r>
        <w:rPr>
          <w:rFonts w:hint="eastAsia"/>
          <w:lang w:val="zh-CN"/>
        </w:rPr>
        <w:t>而言</w:t>
      </w:r>
      <w:r>
        <w:rPr>
          <w:lang w:val="zh-CN"/>
        </w:rPr>
        <w:t>，</w:t>
      </w:r>
      <w:r>
        <w:rPr>
          <w:rFonts w:hint="eastAsia"/>
          <w:lang w:val="zh-CN"/>
        </w:rPr>
        <w:t>学校2021届专科</w:t>
      </w:r>
      <w:r>
        <w:rPr>
          <w:lang w:val="zh-CN"/>
        </w:rPr>
        <w:t>毕业生认为重要</w:t>
      </w:r>
      <w:r>
        <w:rPr>
          <w:rFonts w:hint="eastAsia"/>
          <w:lang w:val="zh-CN"/>
        </w:rPr>
        <w:t>性</w:t>
      </w:r>
      <w:r>
        <w:rPr>
          <w:lang w:val="zh-CN"/>
        </w:rPr>
        <w:t>排名前十位的</w:t>
      </w:r>
      <w:r>
        <w:rPr>
          <w:rFonts w:hint="eastAsia"/>
          <w:lang w:val="zh-CN"/>
        </w:rPr>
        <w:t>基础能力素质</w:t>
      </w:r>
      <w:r>
        <w:rPr>
          <w:lang w:val="zh-CN"/>
        </w:rPr>
        <w:t>依次为：</w:t>
      </w:r>
      <w:r>
        <w:rPr>
          <w:rFonts w:hint="eastAsia"/>
          <w:lang w:val="zh-CN"/>
        </w:rPr>
        <w:t>主动学习、表达能力、严谨负责、团队意识、善于观察、逻辑思维、情绪调节、创新思维、坚韧自信和组织协调；而自身</w:t>
      </w:r>
      <w:r>
        <w:rPr>
          <w:lang w:val="zh-CN"/>
        </w:rPr>
        <w:t>这</w:t>
      </w:r>
      <w:r>
        <w:rPr>
          <w:rFonts w:hint="eastAsia"/>
          <w:lang w:val="zh-CN"/>
        </w:rPr>
        <w:t>十项基础</w:t>
      </w:r>
      <w:r>
        <w:rPr>
          <w:lang w:val="zh-CN"/>
        </w:rPr>
        <w:t>能力</w:t>
      </w:r>
      <w:r>
        <w:rPr>
          <w:rFonts w:hint="eastAsia"/>
          <w:lang w:val="zh-CN"/>
        </w:rPr>
        <w:t>素质的水平均在</w:t>
      </w:r>
      <w:r>
        <w:rPr>
          <w:rFonts w:hint="eastAsia" w:cs="Times New Roman"/>
        </w:rPr>
        <w:t>3.15</w:t>
      </w:r>
      <w:r>
        <w:rPr>
          <w:rFonts w:hint="eastAsia"/>
          <w:lang w:val="zh-CN"/>
        </w:rPr>
        <w:t>分及</w:t>
      </w:r>
      <w:r>
        <w:rPr>
          <w:lang w:val="zh-CN"/>
        </w:rPr>
        <w:t>以上</w:t>
      </w:r>
      <w:r>
        <w:t>；</w:t>
      </w:r>
      <w:r>
        <w:rPr>
          <w:lang w:val="zh-CN"/>
        </w:rPr>
        <w:t>其中</w:t>
      </w:r>
      <w:r>
        <w:rPr>
          <w:rFonts w:ascii="宋体" w:hAnsi="宋体"/>
        </w:rPr>
        <w:t>“</w:t>
      </w:r>
      <w:r>
        <w:rPr>
          <w:rFonts w:hint="eastAsia"/>
        </w:rPr>
        <w:t>团队意识</w:t>
      </w:r>
      <w:r>
        <w:rPr>
          <w:rFonts w:ascii="宋体" w:hAnsi="宋体"/>
        </w:rPr>
        <w:t>”</w:t>
      </w:r>
      <w:r>
        <w:rPr>
          <w:rFonts w:hint="eastAsia" w:ascii="宋体" w:hAnsi="宋体"/>
          <w:lang w:val="zh-CN"/>
        </w:rPr>
        <w:t>和</w:t>
      </w:r>
      <w:r>
        <w:rPr>
          <w:rFonts w:hint="eastAsia" w:ascii="宋体" w:hAnsi="宋体"/>
        </w:rPr>
        <w:t>“</w:t>
      </w:r>
      <w:r>
        <w:rPr>
          <w:rFonts w:hint="eastAsia"/>
        </w:rPr>
        <w:t>表达能力</w:t>
      </w:r>
      <w:r>
        <w:rPr>
          <w:rFonts w:hint="eastAsia" w:ascii="宋体" w:hAnsi="宋体"/>
        </w:rPr>
        <w:t>”</w:t>
      </w:r>
      <w:r>
        <w:rPr>
          <w:rFonts w:hint="eastAsia"/>
          <w:lang w:val="zh-CN"/>
        </w:rPr>
        <w:t>的水平相对</w:t>
      </w:r>
      <w:r>
        <w:rPr>
          <w:lang w:val="zh-CN"/>
        </w:rPr>
        <w:t>较高</w:t>
      </w:r>
      <w:r>
        <w:t>，</w:t>
      </w:r>
      <w:r>
        <w:rPr>
          <w:rFonts w:hint="eastAsia"/>
          <w:lang w:val="zh-CN"/>
        </w:rPr>
        <w:t>均值分别为</w:t>
      </w:r>
      <w:r>
        <w:rPr>
          <w:rFonts w:hint="eastAsia"/>
        </w:rPr>
        <w:t>3.84</w:t>
      </w:r>
      <w:r>
        <w:rPr>
          <w:rFonts w:hint="eastAsia"/>
          <w:lang w:val="zh-CN"/>
        </w:rPr>
        <w:t>分</w:t>
      </w:r>
      <w:r>
        <w:rPr>
          <w:lang w:val="zh-CN"/>
        </w:rPr>
        <w:t>和</w:t>
      </w:r>
      <w:r>
        <w:rPr>
          <w:rFonts w:hint="eastAsia"/>
        </w:rPr>
        <w:t>3.66</w:t>
      </w:r>
      <w:r>
        <w:rPr>
          <w:rFonts w:hint="eastAsia"/>
          <w:lang w:val="zh-CN"/>
        </w:rPr>
        <w:t>分</w:t>
      </w:r>
      <w:r>
        <w:rPr>
          <w:lang w:val="zh-CN"/>
        </w:rPr>
        <w:t>。</w:t>
      </w:r>
    </w:p>
    <w:p>
      <w:pPr>
        <w:pStyle w:val="135"/>
        <w:spacing w:before="156" w:beforeLines="50" w:after="156" w:afterLines="50"/>
        <w:ind w:firstLine="0" w:firstLineChars="0"/>
        <w:jc w:val="center"/>
        <w:rPr>
          <w:lang w:val="zh-CN"/>
        </w:rPr>
      </w:pPr>
      <w:r>
        <w:drawing>
          <wp:inline distT="0" distB="0" distL="0" distR="0">
            <wp:extent cx="5400675" cy="3590925"/>
            <wp:effectExtent l="0" t="0" r="0" b="3175"/>
            <wp:docPr id="930" name="图表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180"/>
        <w:tabs>
          <w:tab w:val="left" w:pos="400"/>
          <w:tab w:val="center" w:pos="4394"/>
        </w:tabs>
      </w:pPr>
      <w:bookmarkStart w:id="326" w:name="_Toc521678909"/>
      <w:r>
        <w:rPr>
          <w:rFonts w:hint="eastAsia"/>
        </w:rPr>
        <w:t xml:space="preserve">图6- </w:t>
      </w:r>
      <w:r>
        <w:fldChar w:fldCharType="begin"/>
      </w:r>
      <w:r>
        <w:instrText xml:space="preserve"> </w:instrText>
      </w:r>
      <w:r>
        <w:rPr>
          <w:rFonts w:hint="eastAsia"/>
        </w:rPr>
        <w:instrText xml:space="preserve">SEQ 图7- \* ARABIC</w:instrText>
      </w:r>
      <w:r>
        <w:instrText xml:space="preserve"> </w:instrText>
      </w:r>
      <w:r>
        <w:fldChar w:fldCharType="separate"/>
      </w:r>
      <w:r>
        <w:t>8</w:t>
      </w:r>
      <w:r>
        <w:fldChar w:fldCharType="end"/>
      </w:r>
      <w:r>
        <w:rPr>
          <w:bCs/>
          <w:caps w:val="0"/>
        </w:rPr>
        <w:t xml:space="preserve">  </w:t>
      </w:r>
      <w:r>
        <w:rPr>
          <w:rFonts w:hint="eastAsia"/>
        </w:rPr>
        <w:t>2021届专科毕业生认为基础能力重要性占比</w:t>
      </w:r>
      <w:r>
        <w:t>排名前十位的</w:t>
      </w:r>
      <w:r>
        <w:rPr>
          <w:rFonts w:hint="eastAsia"/>
        </w:rPr>
        <w:t>水平</w:t>
      </w:r>
      <w:r>
        <w:t>分布</w:t>
      </w:r>
      <w:bookmarkEnd w:id="326"/>
    </w:p>
    <w:p>
      <w:pPr>
        <w:pStyle w:val="118"/>
        <w:ind w:firstLine="36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w:t>
      </w:r>
      <w:r>
        <w:rPr>
          <w:color w:val="0F6FC6" w:themeColor="accent5"/>
          <w14:textFill>
            <w14:solidFill>
              <w14:schemeClr w14:val="accent5"/>
            </w14:solidFill>
          </w14:textFill>
        </w:rPr>
        <w:t>-2021</w:t>
      </w:r>
      <w:r>
        <w:rPr>
          <w:rFonts w:hint="eastAsia"/>
          <w:color w:val="0F6FC6" w:themeColor="accent5"/>
          <w14:textFill>
            <w14:solidFill>
              <w14:schemeClr w14:val="accent5"/>
            </w14:solidFill>
          </w14:textFill>
        </w:rPr>
        <w:t>届毕业生就业与培养质量调查。</w:t>
      </w:r>
    </w:p>
    <w:p>
      <w:pPr>
        <w:pStyle w:val="141"/>
        <w:rPr>
          <w:color w:val="0F6FC6" w:themeColor="accent5"/>
          <w14:textFill>
            <w14:solidFill>
              <w14:schemeClr w14:val="accent5"/>
            </w14:solidFill>
          </w14:textFill>
        </w:rPr>
      </w:pPr>
      <w:bookmarkStart w:id="327" w:name="_Toc520328950"/>
      <w:bookmarkStart w:id="328" w:name="_Toc16673867"/>
      <w:bookmarkStart w:id="329" w:name="_Toc17120674"/>
      <w:bookmarkStart w:id="330" w:name="_Toc22050332"/>
      <w:bookmarkStart w:id="331" w:name="_Toc92706767"/>
      <w:bookmarkStart w:id="332" w:name="_Toc17272032"/>
      <w:bookmarkStart w:id="333" w:name="_Toc496017605"/>
      <w:bookmarkStart w:id="334" w:name="_Toc487789934"/>
      <w:bookmarkStart w:id="335" w:name="_Toc487790115"/>
      <w:bookmarkStart w:id="336" w:name="_Toc443485604"/>
      <w:r>
        <w:rPr>
          <w:rFonts w:hint="eastAsia"/>
          <w:color w:val="0F6FC6" w:themeColor="accent5"/>
          <w14:textFill>
            <w14:solidFill>
              <w14:schemeClr w14:val="accent5"/>
            </w14:solidFill>
          </w14:textFill>
        </w:rPr>
        <w:t>二、</w:t>
      </w:r>
      <w:bookmarkEnd w:id="327"/>
      <w:r>
        <w:rPr>
          <w:rFonts w:hint="eastAsia"/>
          <w:color w:val="0F6FC6" w:themeColor="accent5"/>
          <w14:textFill>
            <w14:solidFill>
              <w14:schemeClr w14:val="accent5"/>
            </w14:solidFill>
          </w14:textFill>
        </w:rPr>
        <w:t>毕业生对</w:t>
      </w:r>
      <w:r>
        <w:rPr>
          <w:color w:val="0F6FC6" w:themeColor="accent5"/>
          <w14:textFill>
            <w14:solidFill>
              <w14:schemeClr w14:val="accent5"/>
            </w14:solidFill>
          </w14:textFill>
        </w:rPr>
        <w:t>就业教育</w:t>
      </w:r>
      <w:r>
        <w:rPr>
          <w:rFonts w:hint="eastAsia"/>
          <w:color w:val="0F6FC6" w:themeColor="accent5"/>
          <w14:textFill>
            <w14:solidFill>
              <w14:schemeClr w14:val="accent5"/>
            </w14:solidFill>
          </w14:textFill>
        </w:rPr>
        <w:t>/服务</w:t>
      </w:r>
      <w:r>
        <w:rPr>
          <w:color w:val="0F6FC6" w:themeColor="accent5"/>
          <w14:textFill>
            <w14:solidFill>
              <w14:schemeClr w14:val="accent5"/>
            </w14:solidFill>
          </w14:textFill>
        </w:rPr>
        <w:t>的评价</w:t>
      </w:r>
      <w:bookmarkEnd w:id="328"/>
      <w:bookmarkEnd w:id="329"/>
      <w:bookmarkEnd w:id="330"/>
      <w:bookmarkEnd w:id="331"/>
      <w:bookmarkEnd w:id="332"/>
    </w:p>
    <w:bookmarkEnd w:id="333"/>
    <w:bookmarkEnd w:id="334"/>
    <w:bookmarkEnd w:id="335"/>
    <w:bookmarkEnd w:id="336"/>
    <w:p>
      <w:pPr>
        <w:pStyle w:val="220"/>
        <w:ind w:firstLine="480"/>
      </w:pPr>
      <w:r>
        <w:rPr>
          <w:rFonts w:hint="eastAsia"/>
        </w:rPr>
        <w:t>调查了解毕业生对学校就业教育/服务的满意度，包含就业教育（生涯规划/就业指导课、职业咨询与辅导）；就业服务（校园招聘会/宣讲会、学校发布的招聘信息、 就业帮扶推荐、就业手续办理）。</w:t>
      </w:r>
    </w:p>
    <w:p>
      <w:pPr>
        <w:pStyle w:val="178"/>
        <w:spacing w:before="156"/>
        <w:ind w:firstLine="480"/>
      </w:pPr>
      <w:r>
        <w:rPr>
          <w:rFonts w:hint="eastAsia"/>
        </w:rPr>
        <w:t>学校</w:t>
      </w:r>
      <w:r>
        <w:t>2021</w:t>
      </w:r>
      <w:r>
        <w:rPr>
          <w:rFonts w:hint="eastAsia"/>
        </w:rPr>
        <w:t>届毕业生对学校各项就业教育/服务的满意度均在92</w:t>
      </w:r>
      <w:r>
        <w:t>.00%</w:t>
      </w:r>
      <w:r>
        <w:rPr>
          <w:rFonts w:hint="eastAsia"/>
        </w:rPr>
        <w:t>以上；其中满意度最高的三方面是“就业手续办理（如档案迁移等）”、“生涯规划/就业指导课”和“职业咨询与辅导”。一方面表明学校就业指导服务工作得到了毕业生的认可；另一方面也体现了学校就业工作在促进毕业生顺利就业、高质量就业中所发挥的重要作用。</w:t>
      </w:r>
    </w:p>
    <w:p>
      <w:pPr>
        <w:pStyle w:val="178"/>
        <w:spacing w:before="156"/>
        <w:ind w:firstLine="0" w:firstLineChars="0"/>
      </w:pPr>
      <w:r>
        <w:rPr>
          <w:rFonts w:hint="eastAsia" w:eastAsia="黑体"/>
          <w:b/>
          <w:szCs w:val="21"/>
          <w:lang w:val="en-US"/>
        </w:rPr>
        <w:drawing>
          <wp:inline distT="0" distB="0" distL="0" distR="0">
            <wp:extent cx="5925185" cy="2695575"/>
            <wp:effectExtent l="0" t="0" r="0" b="0"/>
            <wp:docPr id="1405" name="图表 1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180"/>
      </w:pPr>
      <w:bookmarkStart w:id="337" w:name="_Toc521678911"/>
      <w:r>
        <w:rPr>
          <w:rFonts w:hint="eastAsia"/>
        </w:rPr>
        <w:t xml:space="preserve">图6- </w:t>
      </w:r>
      <w:r>
        <w:fldChar w:fldCharType="begin"/>
      </w:r>
      <w:r>
        <w:instrText xml:space="preserve"> </w:instrText>
      </w:r>
      <w:r>
        <w:rPr>
          <w:rFonts w:hint="eastAsia"/>
        </w:rPr>
        <w:instrText xml:space="preserve">SEQ 图7- \* ARABIC</w:instrText>
      </w:r>
      <w:r>
        <w:instrText xml:space="preserve"> </w:instrText>
      </w:r>
      <w:r>
        <w:fldChar w:fldCharType="separate"/>
      </w:r>
      <w:r>
        <w:t>9</w:t>
      </w:r>
      <w:r>
        <w:fldChar w:fldCharType="end"/>
      </w:r>
      <w:r>
        <w:rPr>
          <w:bCs/>
          <w:caps w:val="0"/>
        </w:rPr>
        <w:t xml:space="preserve">  </w:t>
      </w:r>
      <w:r>
        <w:t>2021</w:t>
      </w:r>
      <w:r>
        <w:rPr>
          <w:rFonts w:hint="eastAsia"/>
        </w:rPr>
        <w:t>届毕业生对学校就业教育/服务的评价</w:t>
      </w:r>
      <w:bookmarkEnd w:id="337"/>
    </w:p>
    <w:p>
      <w:pPr>
        <w:pStyle w:val="176"/>
        <w:ind w:firstLine="360" w:firstLineChars="200"/>
        <w:jc w:val="both"/>
        <w:rPr>
          <w:color w:val="0F6FC6" w:themeColor="accent5"/>
          <w14:textFill>
            <w14:solidFill>
              <w14:schemeClr w14:val="accent5"/>
            </w14:solidFill>
          </w14:textFill>
        </w:rPr>
      </w:pPr>
      <w:bookmarkStart w:id="338" w:name="_Hlk520979926"/>
      <w:r>
        <w:rPr>
          <w:rFonts w:hint="eastAsia"/>
          <w:color w:val="0F6FC6" w:themeColor="accent5"/>
          <w14:textFill>
            <w14:solidFill>
              <w14:schemeClr w14:val="accent5"/>
            </w14:solidFill>
          </w14:textFill>
        </w:rPr>
        <w:t>注：满意度为选择“很满意”、“满意”和“基本</w:t>
      </w:r>
      <w:r>
        <w:rPr>
          <w:color w:val="0F6FC6" w:themeColor="accent5"/>
          <w14:textFill>
            <w14:solidFill>
              <w14:schemeClr w14:val="accent5"/>
            </w14:solidFill>
          </w14:textFill>
        </w:rPr>
        <w:t>满意</w:t>
      </w:r>
      <w:r>
        <w:rPr>
          <w:rFonts w:hint="eastAsia"/>
          <w:color w:val="0F6FC6" w:themeColor="accent5"/>
          <w14:textFill>
            <w14:solidFill>
              <w14:schemeClr w14:val="accent5"/>
            </w14:solidFill>
          </w14:textFill>
        </w:rPr>
        <w:t>”的人数占此题总人数的比例。</w:t>
      </w:r>
    </w:p>
    <w:bookmarkEnd w:id="338"/>
    <w:p>
      <w:pPr>
        <w:pStyle w:val="176"/>
        <w:spacing w:after="156" w:afterLines="50"/>
        <w:ind w:firstLine="360" w:firstLineChars="200"/>
        <w:jc w:val="both"/>
        <w:rPr>
          <w:color w:val="0F6FC6" w:themeColor="accent5"/>
          <w14:textFill>
            <w14:solidFill>
              <w14:schemeClr w14:val="accent5"/>
            </w14:solidFill>
          </w14:textFill>
        </w:rPr>
      </w:pPr>
      <w:r>
        <w:rPr>
          <w:rFonts w:hint="eastAsia"/>
          <w:color w:val="0F6FC6" w:themeColor="accent5"/>
          <w14:textFill>
            <w14:solidFill>
              <w14:schemeClr w14:val="accent5"/>
            </w14:solidFill>
          </w14:textFill>
        </w:rPr>
        <w:t>数据来源：第三方机构新锦成-2021届毕业生就业与培养质量调查。</w:t>
      </w:r>
    </w:p>
    <w:p>
      <w:pPr>
        <w:pStyle w:val="176"/>
        <w:spacing w:after="156" w:afterLines="50"/>
        <w:ind w:firstLine="360" w:firstLineChars="200"/>
        <w:jc w:val="both"/>
        <w:rPr>
          <w:color w:val="0F6FC6" w:themeColor="accent5"/>
          <w14:textFill>
            <w14:solidFill>
              <w14:schemeClr w14:val="accent5"/>
            </w14:solidFill>
          </w14:textFill>
        </w:rPr>
      </w:pPr>
    </w:p>
    <w:p>
      <w:pPr>
        <w:pStyle w:val="176"/>
        <w:spacing w:after="156" w:afterLines="50"/>
        <w:ind w:firstLine="360" w:firstLineChars="200"/>
        <w:jc w:val="both"/>
        <w:rPr>
          <w:color w:val="0F6FC6" w:themeColor="accent5"/>
          <w14:textFill>
            <w14:solidFill>
              <w14:schemeClr w14:val="accent5"/>
            </w14:solidFill>
          </w14:textFill>
        </w:rPr>
      </w:pPr>
      <w:r>
        <w:rPr>
          <w:color w:val="0F6FC6" w:themeColor="accent5"/>
          <w14:textFill>
            <w14:solidFill>
              <w14:schemeClr w14:val="accent5"/>
            </w14:solidFill>
          </w14:textFill>
        </w:rPr>
        <w:br w:type="page"/>
      </w:r>
    </w:p>
    <w:p>
      <w:pPr>
        <w:pStyle w:val="176"/>
        <w:spacing w:after="156" w:afterLines="50"/>
        <w:ind w:firstLine="720" w:firstLineChars="200"/>
        <w:jc w:val="both"/>
        <w:rPr>
          <w:color w:val="0F6FC6" w:themeColor="accent5"/>
          <w14:textFill>
            <w14:solidFill>
              <w14:schemeClr w14:val="accent5"/>
            </w14:solidFill>
          </w14:textFill>
        </w:rPr>
      </w:pPr>
      <w:r>
        <w:rPr>
          <w:rFonts w:eastAsia="黑体"/>
          <w:b/>
          <w:sz w:val="36"/>
          <w:szCs w:val="36"/>
        </w:rPr>
        <mc:AlternateContent>
          <mc:Choice Requires="wps">
            <w:drawing>
              <wp:anchor distT="0" distB="0" distL="114300" distR="114300" simplePos="0" relativeHeight="251677696" behindDoc="0" locked="0" layoutInCell="1" allowOverlap="1">
                <wp:simplePos x="0" y="0"/>
                <wp:positionH relativeFrom="page">
                  <wp:posOffset>25400</wp:posOffset>
                </wp:positionH>
                <wp:positionV relativeFrom="paragraph">
                  <wp:posOffset>1332230</wp:posOffset>
                </wp:positionV>
                <wp:extent cx="7560310" cy="2343150"/>
                <wp:effectExtent l="0" t="0" r="0" b="0"/>
                <wp:wrapNone/>
                <wp:docPr id="555" name="文本框 555"/>
                <wp:cNvGraphicFramePr/>
                <a:graphic xmlns:a="http://schemas.openxmlformats.org/drawingml/2006/main">
                  <a:graphicData uri="http://schemas.microsoft.com/office/word/2010/wordprocessingShape">
                    <wps:wsp>
                      <wps:cNvSpPr txBox="1"/>
                      <wps:spPr bwMode="auto">
                        <a:xfrm>
                          <a:off x="0" y="0"/>
                          <a:ext cx="7560310" cy="2343150"/>
                        </a:xfrm>
                        <a:prstGeom prst="rect">
                          <a:avLst/>
                        </a:prstGeom>
                        <a:noFill/>
                        <a:ln>
                          <a:noFill/>
                        </a:ln>
                      </wps:spPr>
                      <wps:txb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第七篇</w:t>
                            </w:r>
                          </w:p>
                          <w:p>
                            <w:pPr>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用人单位对毕业生及学校的评价</w:t>
                            </w:r>
                          </w:p>
                          <w:p>
                            <w:pPr>
                              <w:jc w:val="center"/>
                              <w:rPr>
                                <w:rFonts w:ascii="微软雅黑" w:hAnsi="微软雅黑" w:eastAsia="微软雅黑"/>
                                <w:b/>
                                <w:color w:val="4C659B"/>
                                <w:sz w:val="44"/>
                                <w:szCs w:val="36"/>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pt;margin-top:104.9pt;height:184.5pt;width:595.3pt;mso-position-horizontal-relative:page;z-index:251677696;mso-width-relative:page;mso-height-relative:page;" filled="f" stroked="f" coordsize="21600,21600" o:gfxdata="UEsDBAoAAAAAAIdO4kAAAAAAAAAAAAAAAAAEAAAAZHJzL1BLAwQUAAAACACHTuJAV08BeNcAAAAK&#10;AQAADwAAAGRycy9kb3ducmV2LnhtbE2PwU7DMBBE70j8g7VI3KidKi1Jmk0PIK4gWkDqzY23SUS8&#10;jmK3CX+Pe4LjalYz75Xb2fbiQqPvHCMkCwWCuHam4wbhY//ykIHwQbPRvWNC+CEP2+r2ptSFcRO/&#10;02UXGhFL2BcaoQ1hKKT0dUtW+4UbiGN2cqPVIZ5jI82op1hue7lUai2t7jgutHqgp5bq793ZIny+&#10;ng5fqXprnu1qmNysJNtcIt7fJWoDItAc/p7hih/RoYpMR3dm40WPkEaTgLBUeTS45kmerkEcEVaP&#10;WQayKuV/heoXUEsDBBQAAAAIAIdO4kBuRbVUAAIAAOoDAAAOAAAAZHJzL2Uyb0RvYy54bWytU82O&#10;0zAQviPxDpbvNEnb7ELUdAVUi5D4kxYewHWcxlLsMbbTpDwAvAEnLtx5rj4HYyctZbnsgYs1nhl/&#10;M98349XNoFqyF9ZJ0CXNZiklQnOopN6V9NPH2ydPKXGe6Yq1oEVJD8LRm/XjR6veFGIODbSVsARB&#10;tCt6U9LGe1MkieONUMzNwAiNwRqsYh6vdpdUlvWIrtpknqZXSQ+2Mha4cA69mzFIJ0T7EECoa8nF&#10;BninhPYjqhUt80jJNdI4uo7d1rXg/n1dO+FJW1Jk6uOJRdDehjNZr1ixs8w0kk8tsIe0cI+TYlJj&#10;0TPUhnlGOiv/gVKSW3BQ+xkHlYxEoiLIIkvvaXPXMCMiF5TambPo7v/B8nf7D5bIqqR5nlOimcKR&#10;H79/O/74dfz5lQQnStQbV2DmncFcP7yAARfn5HfBue3fQoUvWech6jDUVgU9kCHBbJT7cJZbDJ5w&#10;dF7nV+kiwxDH2HyxXGR5HEjCitNzY51/JUCRYJTU4jwjPNu/cR4bw9RTSqim4Va2bZxpq/9yYGLw&#10;JIFJ6Hjk5IftMNHbQnVAIhbGFcEPgkYD9gslPa5HSd3njllBSftao/7PsuUy7FO8LPPrOV7sZWR7&#10;GWGaI1RJPSWj+dKPO9gZK3cNVsoiLQ3PUcBaRmqh1bGrqW9cgch4WtewY5f3mPXni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PAXjXAAAACgEAAA8AAAAAAAAAAQAgAAAAIgAAAGRycy9kb3du&#10;cmV2LnhtbFBLAQIUABQAAAAIAIdO4kBuRbVUAAIAAOoDAAAOAAAAAAAAAAEAIAAAACYBAABkcnMv&#10;ZTJvRG9jLnhtbFBLBQYAAAAABgAGAFkBAACYBQAAAAA=&#10;">
                <v:fill on="f" focussize="0,0"/>
                <v:stroke on="f"/>
                <v:imagedata o:title=""/>
                <o:lock v:ext="edit" aspectratio="f"/>
                <v:textbox>
                  <w:txbxContent>
                    <w:p>
                      <w:pPr>
                        <w:jc w:val="center"/>
                        <w:rPr>
                          <w:rFonts w:ascii="微软雅黑" w:hAnsi="微软雅黑" w:eastAsia="微软雅黑"/>
                          <w:b/>
                          <w:color w:val="0F6FC6"/>
                          <w:sz w:val="72"/>
                          <w:szCs w:val="72"/>
                        </w:rPr>
                      </w:pPr>
                      <w:r>
                        <w:rPr>
                          <w:rFonts w:hint="eastAsia" w:ascii="微软雅黑" w:hAnsi="微软雅黑" w:eastAsia="微软雅黑"/>
                          <w:b/>
                          <w:color w:val="0F6FC6"/>
                          <w:sz w:val="72"/>
                          <w:szCs w:val="72"/>
                        </w:rPr>
                        <w:t>第七篇</w:t>
                      </w:r>
                    </w:p>
                    <w:p>
                      <w:pPr>
                        <w:jc w:val="center"/>
                        <w:rPr>
                          <w:rFonts w:ascii="微软雅黑" w:hAnsi="微软雅黑" w:eastAsia="微软雅黑"/>
                          <w:b/>
                          <w:color w:val="0F6FC6"/>
                          <w:sz w:val="52"/>
                          <w:szCs w:val="52"/>
                        </w:rPr>
                      </w:pPr>
                      <w:r>
                        <w:rPr>
                          <w:rFonts w:hint="eastAsia" w:ascii="微软雅黑" w:hAnsi="微软雅黑" w:eastAsia="微软雅黑"/>
                          <w:b/>
                          <w:color w:val="0F6FC6"/>
                          <w:sz w:val="52"/>
                          <w:szCs w:val="52"/>
                        </w:rPr>
                        <w:t>用人单位对毕业生及学校的评价</w:t>
                      </w:r>
                    </w:p>
                    <w:p>
                      <w:pPr>
                        <w:jc w:val="center"/>
                        <w:rPr>
                          <w:rFonts w:ascii="微软雅黑" w:hAnsi="微软雅黑" w:eastAsia="微软雅黑"/>
                          <w:b/>
                          <w:color w:val="4C659B"/>
                          <w:sz w:val="44"/>
                          <w:szCs w:val="36"/>
                        </w:rPr>
                      </w:pPr>
                    </w:p>
                  </w:txbxContent>
                </v:textbox>
              </v:shape>
            </w:pict>
          </mc:Fallback>
        </mc:AlternateContent>
      </w:r>
      <w:r>
        <w:rPr>
          <w:b/>
          <w:sz w:val="36"/>
        </w:rPr>
        <w:drawing>
          <wp:anchor distT="0" distB="0" distL="114300" distR="114300" simplePos="0" relativeHeight="251676672" behindDoc="1" locked="0" layoutInCell="1" allowOverlap="1">
            <wp:simplePos x="0" y="0"/>
            <wp:positionH relativeFrom="page">
              <wp:posOffset>28575</wp:posOffset>
            </wp:positionH>
            <wp:positionV relativeFrom="paragraph">
              <wp:posOffset>-897255</wp:posOffset>
            </wp:positionV>
            <wp:extent cx="7545705" cy="10235565"/>
            <wp:effectExtent l="0" t="0" r="0" b="0"/>
            <wp:wrapNone/>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5705" cy="10235441"/>
                    </a:xfrm>
                    <a:prstGeom prst="rect">
                      <a:avLst/>
                    </a:prstGeom>
                  </pic:spPr>
                </pic:pic>
              </a:graphicData>
            </a:graphic>
          </wp:anchor>
        </w:drawing>
      </w:r>
      <w:r>
        <w:rPr>
          <w:color w:val="0F6FC6" w:themeColor="accent5"/>
          <w14:textFill>
            <w14:solidFill>
              <w14:schemeClr w14:val="accent5"/>
            </w14:solidFill>
          </w14:textFill>
        </w:rPr>
        <w:br w:type="page"/>
      </w:r>
    </w:p>
    <w:p>
      <w:pPr>
        <w:pStyle w:val="168"/>
        <w:spacing w:before="156" w:after="312"/>
      </w:pPr>
      <w:bookmarkStart w:id="339" w:name="_Toc48147208"/>
      <w:bookmarkStart w:id="340" w:name="_Toc47449763"/>
      <w:bookmarkStart w:id="341" w:name="_Toc81992699"/>
      <w:bookmarkStart w:id="342" w:name="_Toc92706768"/>
      <w:r>
        <w:rPr>
          <w:rFonts w:hint="eastAsia"/>
        </w:rPr>
        <w:t>第七篇</w:t>
      </w:r>
      <w:r>
        <w:t>：</w:t>
      </w:r>
      <w:r>
        <w:rPr>
          <w:rFonts w:hint="eastAsia"/>
        </w:rPr>
        <w:t>用人单位对毕业生及学校的</w:t>
      </w:r>
      <w:r>
        <w:t>评价</w:t>
      </w:r>
      <w:bookmarkEnd w:id="339"/>
      <w:bookmarkEnd w:id="340"/>
      <w:bookmarkEnd w:id="341"/>
      <w:bookmarkEnd w:id="342"/>
    </w:p>
    <w:p>
      <w:pPr>
        <w:pStyle w:val="220"/>
        <w:ind w:firstLine="480"/>
      </w:pPr>
      <w:bookmarkStart w:id="343" w:name="_Toc47449764"/>
      <w:bookmarkStart w:id="344" w:name="_Toc48147209"/>
      <w:r>
        <w:rPr>
          <w:rFonts w:hint="eastAsia"/>
        </w:rPr>
        <w:t>为实现供需畅通对接，更加客观全面地认识学校人才培养的质量及存在的问题，学校建立了毕业生质量外部测评体系，结合调研容需求，研发设计了用人单位调研问卷，邀请录用过本校毕业生且密切合作的用人单位进行调研。调研内容主要包括对毕业生的评价、对学校招聘服务的评价等方面。</w:t>
      </w:r>
    </w:p>
    <w:p>
      <w:pPr>
        <w:pStyle w:val="141"/>
        <w:rPr>
          <w:rStyle w:val="192"/>
          <w:rFonts w:ascii="Calibri" w:hAnsi="Calibri"/>
          <w:bCs w:val="0"/>
          <w:color w:val="0F6FC6"/>
        </w:rPr>
      </w:pPr>
      <w:bookmarkStart w:id="345" w:name="_Toc92706769"/>
      <w:bookmarkStart w:id="346" w:name="_Toc81992700"/>
      <w:r>
        <w:rPr>
          <w:rFonts w:hint="eastAsia"/>
          <w:color w:val="0F6FC6" w:themeColor="accent1"/>
          <w14:textFill>
            <w14:solidFill>
              <w14:schemeClr w14:val="accent1"/>
            </w14:solidFill>
          </w14:textFill>
        </w:rPr>
        <w:t>一、对毕业生的评价</w:t>
      </w:r>
      <w:bookmarkEnd w:id="343"/>
      <w:bookmarkEnd w:id="344"/>
      <w:bookmarkEnd w:id="345"/>
      <w:bookmarkEnd w:id="346"/>
    </w:p>
    <w:p>
      <w:pPr>
        <w:pStyle w:val="220"/>
        <w:ind w:firstLine="480"/>
      </w:pPr>
      <w:r>
        <w:rPr>
          <w:rFonts w:hint="eastAsia"/>
        </w:rPr>
        <w:t>用人单位对毕业生的评价客观地反映着学校人才培养的质量，以及学校人才培养模式与社会市场需求的适配度，对于未来改进学校人才培养方案有积极地促进作用。毕业生的评价指标包括毕业生总体满意度、毕业生政治素养满意度、毕业生专业水平满意度、毕业生职业能力满意度。</w:t>
      </w:r>
    </w:p>
    <w:p>
      <w:pPr>
        <w:pStyle w:val="220"/>
        <w:ind w:firstLine="482"/>
      </w:pPr>
      <w:r>
        <w:rPr>
          <w:rStyle w:val="192"/>
          <w:rFonts w:hint="eastAsia"/>
          <w:b/>
          <w:color w:val="0F6FC6" w:themeColor="accent1"/>
          <w14:textFill>
            <w14:solidFill>
              <w14:schemeClr w14:val="accent1"/>
            </w14:solidFill>
          </w14:textFill>
        </w:rPr>
        <w:t>用人单位对毕业生总体满意度：</w:t>
      </w:r>
      <w:bookmarkStart w:id="347" w:name="_Hlk35874689"/>
      <w:r>
        <w:rPr>
          <w:rFonts w:hint="eastAsia"/>
        </w:rPr>
        <w:t>98.7</w:t>
      </w:r>
      <w:r>
        <w:t>8</w:t>
      </w:r>
      <w:r>
        <w:rPr>
          <w:rFonts w:hint="eastAsia"/>
        </w:rPr>
        <w:t>%</w:t>
      </w:r>
      <w:bookmarkEnd w:id="347"/>
      <w:r>
        <w:rPr>
          <w:rFonts w:hint="eastAsia"/>
        </w:rPr>
        <w:t>的用人单位对学校毕业生的工作表现感到满意，其中评价为“很满意”的占比相对较高，为70.55%。</w:t>
      </w:r>
    </w:p>
    <w:p>
      <w:pPr>
        <w:pStyle w:val="220"/>
        <w:ind w:firstLine="480"/>
        <w:jc w:val="center"/>
      </w:pPr>
      <w:r>
        <w:drawing>
          <wp:inline distT="0" distB="0" distL="0" distR="0">
            <wp:extent cx="3674110" cy="2124075"/>
            <wp:effectExtent l="0" t="0" r="2540" b="9525"/>
            <wp:docPr id="54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218"/>
        <w:spacing w:before="156" w:after="156"/>
        <w:rPr>
          <w:bCs/>
        </w:rPr>
      </w:pPr>
      <w:bookmarkStart w:id="348" w:name="_Toc48726011"/>
      <w:bookmarkStart w:id="349" w:name="_Toc81993172"/>
      <w:bookmarkStart w:id="350" w:name="_Toc47449681"/>
      <w:bookmarkStart w:id="351" w:name="_Toc81992760"/>
      <w:r>
        <w:rPr>
          <w:rFonts w:hint="eastAsia"/>
        </w:rPr>
        <w:t xml:space="preserve">图7- </w:t>
      </w:r>
      <w:r>
        <w:fldChar w:fldCharType="begin"/>
      </w:r>
      <w:r>
        <w:instrText xml:space="preserve"> </w:instrText>
      </w:r>
      <w:r>
        <w:rPr>
          <w:rFonts w:hint="eastAsia"/>
        </w:rPr>
        <w:instrText xml:space="preserve">SEQ 图8- \* ARABIC</w:instrText>
      </w:r>
      <w:r>
        <w:instrText xml:space="preserve"> </w:instrText>
      </w:r>
      <w:r>
        <w:fldChar w:fldCharType="separate"/>
      </w:r>
      <w:r>
        <w:t>1</w:t>
      </w:r>
      <w:r>
        <w:fldChar w:fldCharType="end"/>
      </w:r>
      <w:r>
        <w:rPr>
          <w:rFonts w:hint="eastAsia"/>
        </w:rPr>
        <w:t xml:space="preserve"> </w:t>
      </w:r>
      <w:r>
        <w:t xml:space="preserve"> 用人单位对2021届</w:t>
      </w:r>
      <w:r>
        <w:rPr>
          <w:rFonts w:hint="eastAsia"/>
        </w:rPr>
        <w:t>毕业生的总体满意度</w:t>
      </w:r>
      <w:bookmarkEnd w:id="348"/>
      <w:bookmarkEnd w:id="349"/>
      <w:bookmarkEnd w:id="350"/>
      <w:bookmarkEnd w:id="351"/>
    </w:p>
    <w:p>
      <w:pPr>
        <w:pStyle w:val="131"/>
        <w:spacing w:after="156"/>
        <w:ind w:firstLine="360"/>
        <w:rPr>
          <w:color w:val="0070C0"/>
        </w:rPr>
      </w:pPr>
      <w:r>
        <w:rPr>
          <w:color w:val="0070C0"/>
        </w:rPr>
        <w:t>数据来源</w:t>
      </w:r>
      <w:r>
        <w:rPr>
          <w:rFonts w:hint="eastAsia"/>
          <w:color w:val="0070C0"/>
        </w:rPr>
        <w:t>：第三方机构新锦成-</w:t>
      </w:r>
      <w:r>
        <w:rPr>
          <w:rFonts w:hint="eastAsia" w:eastAsia="宋体"/>
          <w:color w:val="0070C0"/>
        </w:rPr>
        <w:t>2021届</w:t>
      </w:r>
      <w:r>
        <w:rPr>
          <w:color w:val="0070C0"/>
        </w:rPr>
        <w:t>毕业生</w:t>
      </w:r>
      <w:r>
        <w:rPr>
          <w:rFonts w:hint="eastAsia"/>
          <w:color w:val="0070C0"/>
        </w:rPr>
        <w:t>用人</w:t>
      </w:r>
      <w:r>
        <w:rPr>
          <w:color w:val="0070C0"/>
        </w:rPr>
        <w:t>单位调查。</w:t>
      </w:r>
    </w:p>
    <w:p>
      <w:pPr>
        <w:pStyle w:val="220"/>
        <w:ind w:firstLine="482"/>
      </w:pPr>
      <w:r>
        <w:rPr>
          <w:rStyle w:val="192"/>
          <w:rFonts w:hint="eastAsia"/>
          <w:b/>
          <w:color w:val="0F6FC6" w:themeColor="accent1"/>
          <w14:textFill>
            <w14:solidFill>
              <w14:schemeClr w14:val="accent1"/>
            </w14:solidFill>
          </w14:textFill>
        </w:rPr>
        <w:t>用人单位对毕业生政治素养满意度：</w:t>
      </w:r>
      <w:r>
        <w:rPr>
          <w:rFonts w:hint="eastAsia"/>
        </w:rPr>
        <w:t>98.7</w:t>
      </w:r>
      <w:r>
        <w:t>8</w:t>
      </w:r>
      <w:r>
        <w:rPr>
          <w:rFonts w:hint="eastAsia"/>
        </w:rPr>
        <w:t>%的用人单位对学校毕业生的政治素养感到满意，其中评价为“很满意”的占比相对较高，为73.62%。</w:t>
      </w:r>
    </w:p>
    <w:p>
      <w:pPr>
        <w:pStyle w:val="220"/>
        <w:ind w:firstLine="480"/>
        <w:jc w:val="center"/>
      </w:pPr>
      <w:r>
        <w:drawing>
          <wp:inline distT="0" distB="0" distL="0" distR="0">
            <wp:extent cx="4144645" cy="2124075"/>
            <wp:effectExtent l="0" t="0" r="8255" b="9525"/>
            <wp:docPr id="54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218"/>
        <w:spacing w:before="156" w:after="156"/>
        <w:rPr>
          <w:bCs/>
        </w:rPr>
      </w:pPr>
      <w:bookmarkStart w:id="352" w:name="_Toc81992883"/>
      <w:bookmarkStart w:id="353" w:name="_Toc81992761"/>
      <w:bookmarkStart w:id="354" w:name="_Toc47449682"/>
      <w:bookmarkStart w:id="355" w:name="_Toc81993173"/>
      <w:bookmarkStart w:id="356" w:name="_Toc48726012"/>
      <w:r>
        <w:rPr>
          <w:rFonts w:hint="eastAsia"/>
        </w:rPr>
        <w:t xml:space="preserve">图7- </w:t>
      </w:r>
      <w:r>
        <w:fldChar w:fldCharType="begin"/>
      </w:r>
      <w:r>
        <w:instrText xml:space="preserve"> </w:instrText>
      </w:r>
      <w:r>
        <w:rPr>
          <w:rFonts w:hint="eastAsia"/>
        </w:rPr>
        <w:instrText xml:space="preserve">SEQ 图8- \* ARABIC</w:instrText>
      </w:r>
      <w:r>
        <w:instrText xml:space="preserve"> </w:instrText>
      </w:r>
      <w:r>
        <w:fldChar w:fldCharType="separate"/>
      </w:r>
      <w:r>
        <w:t>2</w:t>
      </w:r>
      <w:r>
        <w:fldChar w:fldCharType="end"/>
      </w:r>
      <w:r>
        <w:rPr>
          <w:bCs/>
        </w:rPr>
        <w:t xml:space="preserve">  用人单位对2021届</w:t>
      </w:r>
      <w:r>
        <w:rPr>
          <w:rFonts w:hint="eastAsia"/>
          <w:bCs/>
        </w:rPr>
        <w:t>毕业生政治素养的满意度</w:t>
      </w:r>
      <w:bookmarkEnd w:id="352"/>
      <w:bookmarkEnd w:id="353"/>
      <w:bookmarkEnd w:id="354"/>
      <w:bookmarkEnd w:id="355"/>
      <w:bookmarkEnd w:id="356"/>
    </w:p>
    <w:p>
      <w:pPr>
        <w:pStyle w:val="131"/>
        <w:spacing w:after="156"/>
        <w:ind w:firstLine="360"/>
        <w:rPr>
          <w:color w:val="0070C0"/>
        </w:rPr>
      </w:pPr>
      <w:r>
        <w:rPr>
          <w:color w:val="0070C0"/>
        </w:rPr>
        <w:t>数据来源</w:t>
      </w:r>
      <w:r>
        <w:rPr>
          <w:rFonts w:hint="eastAsia"/>
          <w:color w:val="0070C0"/>
        </w:rPr>
        <w:t>：第三方机构新锦成-</w:t>
      </w:r>
      <w:r>
        <w:rPr>
          <w:rFonts w:hint="eastAsia" w:eastAsia="宋体"/>
          <w:color w:val="0070C0"/>
        </w:rPr>
        <w:t>2021届</w:t>
      </w:r>
      <w:r>
        <w:rPr>
          <w:color w:val="0070C0"/>
        </w:rPr>
        <w:t>毕业生</w:t>
      </w:r>
      <w:r>
        <w:rPr>
          <w:rFonts w:hint="eastAsia"/>
          <w:color w:val="0070C0"/>
        </w:rPr>
        <w:t>用人</w:t>
      </w:r>
      <w:r>
        <w:rPr>
          <w:color w:val="0070C0"/>
        </w:rPr>
        <w:t>单位调查。</w:t>
      </w:r>
    </w:p>
    <w:p>
      <w:pPr>
        <w:pStyle w:val="220"/>
        <w:ind w:firstLine="482"/>
      </w:pPr>
      <w:r>
        <w:rPr>
          <w:rStyle w:val="192"/>
          <w:rFonts w:hint="eastAsia"/>
          <w:b/>
          <w:color w:val="0F6FC6" w:themeColor="accent1"/>
          <w14:textFill>
            <w14:solidFill>
              <w14:schemeClr w14:val="accent1"/>
            </w14:solidFill>
          </w14:textFill>
        </w:rPr>
        <w:t>用人单位对毕业生专业水平满意度：</w:t>
      </w:r>
      <w:r>
        <w:rPr>
          <w:rFonts w:hint="eastAsia"/>
        </w:rPr>
        <w:t>98.17%的用人单位对学校毕业生的专业水平感到满意，其中评价为“很满意”的占比相对较高，为64.02%。</w:t>
      </w:r>
    </w:p>
    <w:p>
      <w:pPr>
        <w:pStyle w:val="220"/>
        <w:ind w:firstLine="480"/>
        <w:jc w:val="center"/>
      </w:pPr>
      <w:r>
        <w:drawing>
          <wp:inline distT="0" distB="0" distL="0" distR="0">
            <wp:extent cx="3939540" cy="2124075"/>
            <wp:effectExtent l="0" t="0" r="3810" b="9525"/>
            <wp:docPr id="545" name="图表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218"/>
        <w:spacing w:before="156" w:after="156"/>
        <w:rPr>
          <w:bCs/>
          <w:color w:val="0070C0"/>
        </w:rPr>
      </w:pPr>
      <w:bookmarkStart w:id="357" w:name="_Toc81992884"/>
      <w:bookmarkStart w:id="358" w:name="_Toc48726013"/>
      <w:bookmarkStart w:id="359" w:name="_Toc81993174"/>
      <w:bookmarkStart w:id="360" w:name="_Toc81992762"/>
      <w:bookmarkStart w:id="361" w:name="_Toc47449683"/>
      <w:r>
        <w:rPr>
          <w:rFonts w:hint="eastAsia"/>
          <w:color w:val="0070C0"/>
        </w:rPr>
        <w:t xml:space="preserve">图7- </w:t>
      </w:r>
      <w:r>
        <w:rPr>
          <w:color w:val="0070C0"/>
        </w:rPr>
        <w:fldChar w:fldCharType="begin"/>
      </w:r>
      <w:r>
        <w:rPr>
          <w:color w:val="0070C0"/>
        </w:rPr>
        <w:instrText xml:space="preserve"> </w:instrText>
      </w:r>
      <w:r>
        <w:rPr>
          <w:rFonts w:hint="eastAsia"/>
          <w:color w:val="0070C0"/>
        </w:rPr>
        <w:instrText xml:space="preserve">SEQ 图8- \* ARABIC</w:instrText>
      </w:r>
      <w:r>
        <w:rPr>
          <w:color w:val="0070C0"/>
        </w:rPr>
        <w:instrText xml:space="preserve"> </w:instrText>
      </w:r>
      <w:r>
        <w:rPr>
          <w:color w:val="0070C0"/>
        </w:rPr>
        <w:fldChar w:fldCharType="separate"/>
      </w:r>
      <w:r>
        <w:rPr>
          <w:color w:val="0070C0"/>
        </w:rPr>
        <w:t>3</w:t>
      </w:r>
      <w:r>
        <w:rPr>
          <w:color w:val="0070C0"/>
        </w:rPr>
        <w:fldChar w:fldCharType="end"/>
      </w:r>
      <w:r>
        <w:rPr>
          <w:bCs/>
          <w:color w:val="0070C0"/>
        </w:rPr>
        <w:t xml:space="preserve">  用人单位对2021届</w:t>
      </w:r>
      <w:r>
        <w:rPr>
          <w:rFonts w:hint="eastAsia"/>
          <w:bCs/>
          <w:color w:val="0070C0"/>
        </w:rPr>
        <w:t>毕业生专业水平的满意度</w:t>
      </w:r>
      <w:bookmarkEnd w:id="357"/>
      <w:bookmarkEnd w:id="358"/>
      <w:bookmarkEnd w:id="359"/>
      <w:bookmarkEnd w:id="360"/>
      <w:bookmarkEnd w:id="361"/>
    </w:p>
    <w:p>
      <w:pPr>
        <w:pStyle w:val="131"/>
        <w:spacing w:after="156"/>
        <w:ind w:firstLine="360"/>
        <w:rPr>
          <w:color w:val="0070C0"/>
        </w:rPr>
      </w:pPr>
      <w:r>
        <w:rPr>
          <w:color w:val="0070C0"/>
        </w:rPr>
        <w:t>数据来源</w:t>
      </w:r>
      <w:r>
        <w:rPr>
          <w:rFonts w:hint="eastAsia"/>
          <w:color w:val="0070C0"/>
        </w:rPr>
        <w:t>：第三方机构新锦成-</w:t>
      </w:r>
      <w:r>
        <w:rPr>
          <w:rFonts w:hint="eastAsia" w:eastAsia="宋体"/>
          <w:color w:val="0070C0"/>
        </w:rPr>
        <w:t>2021届</w:t>
      </w:r>
      <w:r>
        <w:rPr>
          <w:color w:val="0070C0"/>
        </w:rPr>
        <w:t>毕业生</w:t>
      </w:r>
      <w:r>
        <w:rPr>
          <w:rFonts w:hint="eastAsia"/>
          <w:color w:val="0070C0"/>
        </w:rPr>
        <w:t>用人</w:t>
      </w:r>
      <w:r>
        <w:rPr>
          <w:color w:val="0070C0"/>
        </w:rPr>
        <w:t>单位调查。</w:t>
      </w:r>
    </w:p>
    <w:p>
      <w:pPr>
        <w:pStyle w:val="220"/>
        <w:ind w:firstLine="482"/>
      </w:pPr>
      <w:r>
        <w:rPr>
          <w:rStyle w:val="192"/>
          <w:rFonts w:hint="eastAsia"/>
          <w:b/>
          <w:color w:val="0F6FC6" w:themeColor="accent1"/>
          <w14:textFill>
            <w14:solidFill>
              <w14:schemeClr w14:val="accent1"/>
            </w14:solidFill>
          </w14:textFill>
        </w:rPr>
        <w:t>用人单位对毕业生职业能力满意度：</w:t>
      </w:r>
      <w:r>
        <w:rPr>
          <w:rFonts w:hint="eastAsia"/>
        </w:rPr>
        <w:t>97.56%的用人单位对学校毕业生的职业能力感到满意，其中评价为“很满意”的占比相对较高，为64.63%。</w:t>
      </w:r>
    </w:p>
    <w:p>
      <w:pPr>
        <w:pStyle w:val="220"/>
        <w:ind w:firstLine="480"/>
        <w:jc w:val="center"/>
      </w:pPr>
      <w:r>
        <w:drawing>
          <wp:inline distT="0" distB="0" distL="0" distR="0">
            <wp:extent cx="4016375" cy="2124075"/>
            <wp:effectExtent l="0" t="0" r="3175" b="9525"/>
            <wp:docPr id="54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218"/>
        <w:spacing w:before="0" w:beforeLines="0" w:after="0" w:afterLines="0"/>
        <w:rPr>
          <w:bCs/>
          <w:color w:val="0070C0"/>
        </w:rPr>
      </w:pPr>
      <w:bookmarkStart w:id="362" w:name="_Toc47449684"/>
      <w:bookmarkStart w:id="363" w:name="_Toc48726014"/>
      <w:bookmarkStart w:id="364" w:name="_Toc81992885"/>
      <w:bookmarkStart w:id="365" w:name="_Toc81993175"/>
      <w:bookmarkStart w:id="366" w:name="_Toc81992763"/>
      <w:r>
        <w:rPr>
          <w:rFonts w:hint="eastAsia"/>
          <w:color w:val="0070C0"/>
        </w:rPr>
        <w:t xml:space="preserve">图7- </w:t>
      </w:r>
      <w:r>
        <w:rPr>
          <w:color w:val="0070C0"/>
        </w:rPr>
        <w:fldChar w:fldCharType="begin"/>
      </w:r>
      <w:r>
        <w:rPr>
          <w:color w:val="0070C0"/>
        </w:rPr>
        <w:instrText xml:space="preserve"> </w:instrText>
      </w:r>
      <w:r>
        <w:rPr>
          <w:rFonts w:hint="eastAsia"/>
          <w:color w:val="0070C0"/>
        </w:rPr>
        <w:instrText xml:space="preserve">SEQ 图8- \* ARABIC</w:instrText>
      </w:r>
      <w:r>
        <w:rPr>
          <w:color w:val="0070C0"/>
        </w:rPr>
        <w:instrText xml:space="preserve"> </w:instrText>
      </w:r>
      <w:r>
        <w:rPr>
          <w:color w:val="0070C0"/>
        </w:rPr>
        <w:fldChar w:fldCharType="separate"/>
      </w:r>
      <w:r>
        <w:rPr>
          <w:color w:val="0070C0"/>
        </w:rPr>
        <w:t>4</w:t>
      </w:r>
      <w:r>
        <w:rPr>
          <w:color w:val="0070C0"/>
        </w:rPr>
        <w:fldChar w:fldCharType="end"/>
      </w:r>
      <w:r>
        <w:rPr>
          <w:bCs/>
          <w:color w:val="0070C0"/>
        </w:rPr>
        <w:t xml:space="preserve">  用人单位对2021届</w:t>
      </w:r>
      <w:r>
        <w:rPr>
          <w:rFonts w:hint="eastAsia"/>
          <w:bCs/>
          <w:color w:val="0070C0"/>
        </w:rPr>
        <w:t>毕业生职业能力的满意度</w:t>
      </w:r>
      <w:bookmarkEnd w:id="362"/>
      <w:bookmarkEnd w:id="363"/>
      <w:bookmarkEnd w:id="364"/>
      <w:bookmarkEnd w:id="365"/>
      <w:bookmarkEnd w:id="366"/>
    </w:p>
    <w:p>
      <w:pPr>
        <w:pStyle w:val="131"/>
        <w:ind w:firstLine="357"/>
        <w:rPr>
          <w:color w:val="0070C0"/>
        </w:rPr>
      </w:pPr>
      <w:r>
        <w:rPr>
          <w:color w:val="0070C0"/>
        </w:rPr>
        <w:t>数据来源</w:t>
      </w:r>
      <w:r>
        <w:rPr>
          <w:rFonts w:hint="eastAsia"/>
          <w:color w:val="0070C0"/>
        </w:rPr>
        <w:t>：第三方机构新锦成-</w:t>
      </w:r>
      <w:r>
        <w:rPr>
          <w:rFonts w:hint="eastAsia" w:eastAsia="宋体"/>
          <w:color w:val="0070C0"/>
        </w:rPr>
        <w:t>2021届</w:t>
      </w:r>
      <w:r>
        <w:rPr>
          <w:color w:val="0070C0"/>
        </w:rPr>
        <w:t>毕业生</w:t>
      </w:r>
      <w:r>
        <w:rPr>
          <w:rFonts w:hint="eastAsia"/>
          <w:color w:val="0070C0"/>
        </w:rPr>
        <w:t>用人</w:t>
      </w:r>
      <w:r>
        <w:rPr>
          <w:color w:val="0070C0"/>
        </w:rPr>
        <w:t>单位调查。</w:t>
      </w:r>
    </w:p>
    <w:p>
      <w:pPr>
        <w:pStyle w:val="141"/>
        <w:rPr>
          <w:color w:val="0F6FC6"/>
        </w:rPr>
      </w:pPr>
      <w:bookmarkStart w:id="367" w:name="_Toc47449765"/>
      <w:bookmarkStart w:id="368" w:name="_Toc92706770"/>
      <w:bookmarkStart w:id="369" w:name="_Toc81992701"/>
      <w:bookmarkStart w:id="370" w:name="_Toc48147210"/>
      <w:r>
        <w:rPr>
          <w:rFonts w:hint="eastAsia"/>
          <w:color w:val="0F6FC6" w:themeColor="accent1"/>
          <w14:textFill>
            <w14:solidFill>
              <w14:schemeClr w14:val="accent1"/>
            </w14:solidFill>
          </w14:textFill>
        </w:rPr>
        <w:t>二、对学校</w:t>
      </w:r>
      <w:r>
        <w:rPr>
          <w:color w:val="0F6FC6" w:themeColor="accent1"/>
          <w14:textFill>
            <w14:solidFill>
              <w14:schemeClr w14:val="accent1"/>
            </w14:solidFill>
          </w14:textFill>
        </w:rPr>
        <w:t>招聘服务</w:t>
      </w:r>
      <w:r>
        <w:rPr>
          <w:rFonts w:hint="eastAsia"/>
          <w:color w:val="0F6FC6" w:themeColor="accent1"/>
          <w14:textFill>
            <w14:solidFill>
              <w14:schemeClr w14:val="accent1"/>
            </w14:solidFill>
          </w14:textFill>
        </w:rPr>
        <w:t>的评价</w:t>
      </w:r>
      <w:bookmarkEnd w:id="367"/>
      <w:bookmarkEnd w:id="368"/>
      <w:bookmarkEnd w:id="369"/>
      <w:bookmarkEnd w:id="370"/>
    </w:p>
    <w:p>
      <w:pPr>
        <w:pStyle w:val="220"/>
        <w:ind w:firstLine="480"/>
      </w:pPr>
      <w:r>
        <w:rPr>
          <w:rFonts w:hint="eastAsia"/>
        </w:rPr>
        <w:t>学校招聘服务工作是联系毕业生与用人单位的重要纽带，可以满足用人单位招聘优质毕业生的需求，也是毕业生接收招聘信息，实现求职目的的主要途径。用人单位对学校招聘服务的评价能够为优化学校招聘服务工作提供参考，提高学校招聘工作的针对性和高质性。</w:t>
      </w:r>
    </w:p>
    <w:p>
      <w:pPr>
        <w:pStyle w:val="220"/>
        <w:ind w:firstLine="480"/>
      </w:pPr>
      <w:r>
        <w:rPr>
          <w:rFonts w:hint="eastAsia"/>
        </w:rPr>
        <w:t>用人单位对本校招聘服务的满意度为97.58%；其中52.12%的用人单位对学校招聘服务表示“很满意”，33.94%的用人单位对学院招聘服务表示“满意”。可见，用人单位对本校招聘服务的满意度较高</w:t>
      </w:r>
      <w:r>
        <w:t>。</w:t>
      </w:r>
    </w:p>
    <w:p>
      <w:pPr>
        <w:pStyle w:val="220"/>
        <w:ind w:firstLine="480"/>
        <w:jc w:val="center"/>
      </w:pPr>
      <w:r>
        <w:drawing>
          <wp:inline distT="0" distB="0" distL="0" distR="0">
            <wp:extent cx="3438525" cy="2124075"/>
            <wp:effectExtent l="0" t="0" r="9525" b="9525"/>
            <wp:docPr id="5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218"/>
        <w:spacing w:before="0" w:beforeLines="0" w:after="156"/>
      </w:pPr>
      <w:bookmarkStart w:id="371" w:name="_Toc47449685"/>
      <w:bookmarkStart w:id="372" w:name="_Toc81992886"/>
      <w:bookmarkStart w:id="373" w:name="_Toc81993176"/>
      <w:bookmarkStart w:id="374" w:name="_Toc81992764"/>
      <w:bookmarkStart w:id="375" w:name="_Toc48726015"/>
      <w:r>
        <w:rPr>
          <w:rFonts w:hint="eastAsia"/>
        </w:rPr>
        <w:t xml:space="preserve">图7- </w:t>
      </w:r>
      <w:r>
        <w:fldChar w:fldCharType="begin"/>
      </w:r>
      <w:r>
        <w:instrText xml:space="preserve"> </w:instrText>
      </w:r>
      <w:r>
        <w:rPr>
          <w:rFonts w:hint="eastAsia"/>
        </w:rPr>
        <w:instrText xml:space="preserve">SEQ 图8- \* ARABIC</w:instrText>
      </w:r>
      <w:r>
        <w:instrText xml:space="preserve"> </w:instrText>
      </w:r>
      <w:r>
        <w:fldChar w:fldCharType="separate"/>
      </w:r>
      <w:r>
        <w:t>5</w:t>
      </w:r>
      <w:r>
        <w:fldChar w:fldCharType="end"/>
      </w:r>
      <w:r>
        <w:t xml:space="preserve"> </w:t>
      </w:r>
      <w:r>
        <w:rPr>
          <w:bCs/>
        </w:rPr>
        <w:t xml:space="preserve"> </w:t>
      </w:r>
      <w:r>
        <w:rPr>
          <w:rFonts w:hint="eastAsia"/>
        </w:rPr>
        <w:t>用人</w:t>
      </w:r>
      <w:r>
        <w:t>单位对</w:t>
      </w:r>
      <w:r>
        <w:rPr>
          <w:rFonts w:hint="eastAsia"/>
        </w:rPr>
        <w:t>学校招聘服务</w:t>
      </w:r>
      <w:r>
        <w:t>的满意度</w:t>
      </w:r>
      <w:bookmarkEnd w:id="371"/>
      <w:bookmarkEnd w:id="372"/>
      <w:bookmarkEnd w:id="373"/>
      <w:bookmarkEnd w:id="374"/>
      <w:bookmarkEnd w:id="375"/>
    </w:p>
    <w:p>
      <w:pPr>
        <w:pStyle w:val="131"/>
        <w:ind w:firstLine="357"/>
        <w:rPr>
          <w:color w:val="0070C0"/>
        </w:rPr>
      </w:pPr>
      <w:r>
        <w:rPr>
          <w:rFonts w:hint="eastAsia"/>
          <w:color w:val="0070C0"/>
        </w:rPr>
        <w:t>注：满意度为选择“很满意”、“满意”和“基本满意”的人数占此题总人数的比例。</w:t>
      </w:r>
    </w:p>
    <w:p>
      <w:pPr>
        <w:pStyle w:val="131"/>
        <w:ind w:firstLine="357"/>
        <w:rPr>
          <w:color w:val="0070C0"/>
        </w:rPr>
      </w:pPr>
      <w:r>
        <w:rPr>
          <w:color w:val="0070C0"/>
        </w:rPr>
        <w:t>数据来源</w:t>
      </w:r>
      <w:r>
        <w:rPr>
          <w:rFonts w:hint="eastAsia"/>
          <w:color w:val="0070C0"/>
        </w:rPr>
        <w:t>：第三方机构新锦成-</w:t>
      </w:r>
      <w:r>
        <w:rPr>
          <w:rFonts w:hint="eastAsia" w:eastAsia="宋体"/>
          <w:color w:val="0070C0"/>
        </w:rPr>
        <w:t>2021届</w:t>
      </w:r>
      <w:r>
        <w:rPr>
          <w:color w:val="0070C0"/>
        </w:rPr>
        <w:t>毕业生</w:t>
      </w:r>
      <w:r>
        <w:rPr>
          <w:rFonts w:hint="eastAsia"/>
          <w:color w:val="0070C0"/>
        </w:rPr>
        <w:t>用人单位</w:t>
      </w:r>
      <w:r>
        <w:rPr>
          <w:color w:val="0070C0"/>
        </w:rPr>
        <w:t>调查。</w:t>
      </w:r>
    </w:p>
    <w:p>
      <w:pPr>
        <w:pStyle w:val="220"/>
        <w:ind w:firstLine="480"/>
      </w:pPr>
      <w:r>
        <w:rPr>
          <w:rFonts w:hint="eastAsia"/>
        </w:rPr>
        <w:t>用人单位普遍认为学校应在“加强校企沟通”（40.12%）、“增加招聘场次”（24.07%）和“拓宽服务项目”（16.67%）这三个方面来加强就业工作。</w:t>
      </w:r>
    </w:p>
    <w:p>
      <w:pPr>
        <w:pStyle w:val="220"/>
        <w:ind w:firstLine="480"/>
      </w:pPr>
      <w:r>
        <w:drawing>
          <wp:inline distT="0" distB="0" distL="0" distR="0">
            <wp:extent cx="5275580" cy="3324225"/>
            <wp:effectExtent l="0" t="0" r="0" b="3175"/>
            <wp:docPr id="985" name="图表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218"/>
        <w:spacing w:before="156" w:after="156"/>
      </w:pPr>
      <w:bookmarkStart w:id="376" w:name="_Toc81992765"/>
      <w:bookmarkStart w:id="377" w:name="_Toc81992887"/>
      <w:bookmarkStart w:id="378" w:name="_Toc47449686"/>
      <w:bookmarkStart w:id="379" w:name="_Toc48726016"/>
      <w:bookmarkStart w:id="380" w:name="_Toc81993177"/>
      <w:r>
        <w:rPr>
          <w:rFonts w:hint="eastAsia"/>
        </w:rPr>
        <w:t xml:space="preserve">图7- </w:t>
      </w:r>
      <w:r>
        <w:fldChar w:fldCharType="begin"/>
      </w:r>
      <w:r>
        <w:instrText xml:space="preserve"> </w:instrText>
      </w:r>
      <w:r>
        <w:rPr>
          <w:rFonts w:hint="eastAsia"/>
        </w:rPr>
        <w:instrText xml:space="preserve">SEQ 图8- \* ARABIC</w:instrText>
      </w:r>
      <w:r>
        <w:instrText xml:space="preserve"> </w:instrText>
      </w:r>
      <w:r>
        <w:fldChar w:fldCharType="separate"/>
      </w:r>
      <w:r>
        <w:t>6</w:t>
      </w:r>
      <w:r>
        <w:fldChar w:fldCharType="end"/>
      </w:r>
      <w:r>
        <w:rPr>
          <w:bCs/>
        </w:rPr>
        <w:t xml:space="preserve">  </w:t>
      </w:r>
      <w:r>
        <w:rPr>
          <w:rFonts w:hint="eastAsia"/>
        </w:rPr>
        <w:t>用人</w:t>
      </w:r>
      <w:r>
        <w:t>单位</w:t>
      </w:r>
      <w:r>
        <w:rPr>
          <w:rFonts w:hint="eastAsia"/>
        </w:rPr>
        <w:t>对学校招聘</w:t>
      </w:r>
      <w:r>
        <w:t>服务工作</w:t>
      </w:r>
      <w:r>
        <w:rPr>
          <w:rFonts w:hint="eastAsia"/>
        </w:rPr>
        <w:t>的建议</w:t>
      </w:r>
      <w:bookmarkEnd w:id="376"/>
      <w:bookmarkEnd w:id="377"/>
      <w:bookmarkEnd w:id="378"/>
      <w:bookmarkEnd w:id="379"/>
      <w:bookmarkEnd w:id="380"/>
    </w:p>
    <w:p>
      <w:pPr>
        <w:pStyle w:val="118"/>
        <w:ind w:firstLine="360"/>
        <w:rPr>
          <w:color w:val="0F6FC6"/>
        </w:rPr>
      </w:pPr>
      <w:r>
        <w:rPr>
          <w:rFonts w:hint="eastAsia"/>
          <w:color w:val="0F6FC6" w:themeColor="accent1"/>
          <w14:textFill>
            <w14:solidFill>
              <w14:schemeClr w14:val="accent1"/>
            </w14:solidFill>
          </w14:textFill>
        </w:rPr>
        <w:t>注</w:t>
      </w:r>
      <w:r>
        <w:rPr>
          <w:color w:val="0F6FC6" w:themeColor="accent1"/>
          <w14:textFill>
            <w14:solidFill>
              <w14:schemeClr w14:val="accent1"/>
            </w14:solidFill>
          </w14:textFill>
        </w:rPr>
        <w:t>：</w:t>
      </w:r>
      <w:r>
        <w:rPr>
          <w:rFonts w:hint="eastAsia"/>
          <w:color w:val="0F6FC6" w:themeColor="accent1"/>
          <w14:textFill>
            <w14:solidFill>
              <w14:schemeClr w14:val="accent1"/>
            </w14:solidFill>
          </w14:textFill>
        </w:rPr>
        <w:t>此题</w:t>
      </w:r>
      <w:r>
        <w:rPr>
          <w:color w:val="0F6FC6" w:themeColor="accent1"/>
          <w14:textFill>
            <w14:solidFill>
              <w14:schemeClr w14:val="accent1"/>
            </w14:solidFill>
          </w14:textFill>
        </w:rPr>
        <w:t>为多选题，故各选项占比之和不等于</w:t>
      </w:r>
      <w:r>
        <w:rPr>
          <w:rFonts w:hint="eastAsia"/>
          <w:color w:val="0F6FC6" w:themeColor="accent1"/>
          <w14:textFill>
            <w14:solidFill>
              <w14:schemeClr w14:val="accent1"/>
            </w14:solidFill>
          </w14:textFill>
        </w:rPr>
        <w:t>100.00%。</w:t>
      </w:r>
    </w:p>
    <w:p>
      <w:pPr>
        <w:pStyle w:val="118"/>
        <w:ind w:firstLine="360"/>
        <w:rPr>
          <w:color w:val="0F6FC6" w:themeColor="accent1"/>
          <w14:textFill>
            <w14:solidFill>
              <w14:schemeClr w14:val="accent1"/>
            </w14:solidFill>
          </w14:textFill>
        </w:rPr>
      </w:pPr>
      <w:r>
        <w:rPr>
          <w:rFonts w:hint="eastAsia"/>
          <w:color w:val="0F6FC6" w:themeColor="accent1"/>
          <w14:textFill>
            <w14:solidFill>
              <w14:schemeClr w14:val="accent1"/>
            </w14:solidFill>
          </w14:textFill>
        </w:rPr>
        <w:t>数据来源：第三方机构新锦成</w:t>
      </w:r>
      <w:r>
        <w:rPr>
          <w:color w:val="0F6FC6" w:themeColor="accent1"/>
          <w14:textFill>
            <w14:solidFill>
              <w14:schemeClr w14:val="accent1"/>
            </w14:solidFill>
          </w14:textFill>
        </w:rPr>
        <w:t>-</w:t>
      </w:r>
      <w:r>
        <w:rPr>
          <w:rFonts w:hint="eastAsia"/>
          <w:color w:val="0F6FC6" w:themeColor="accent1"/>
          <w14:textFill>
            <w14:solidFill>
              <w14:schemeClr w14:val="accent1"/>
            </w14:solidFill>
          </w14:textFill>
        </w:rPr>
        <w:t>2021届</w:t>
      </w:r>
      <w:r>
        <w:rPr>
          <w:color w:val="0F6FC6" w:themeColor="accent1"/>
          <w14:textFill>
            <w14:solidFill>
              <w14:schemeClr w14:val="accent1"/>
            </w14:solidFill>
          </w14:textFill>
        </w:rPr>
        <w:t>毕业生</w:t>
      </w:r>
      <w:r>
        <w:rPr>
          <w:rFonts w:hint="eastAsia"/>
          <w:color w:val="0F6FC6" w:themeColor="accent1"/>
          <w14:textFill>
            <w14:solidFill>
              <w14:schemeClr w14:val="accent1"/>
            </w14:solidFill>
          </w14:textFill>
        </w:rPr>
        <w:t>用人单位</w:t>
      </w:r>
      <w:r>
        <w:rPr>
          <w:color w:val="0F6FC6" w:themeColor="accent1"/>
          <w14:textFill>
            <w14:solidFill>
              <w14:schemeClr w14:val="accent1"/>
            </w14:solidFill>
          </w14:textFill>
        </w:rPr>
        <w:t>调查。</w:t>
      </w:r>
    </w:p>
    <w:p>
      <w:pPr>
        <w:jc w:val="center"/>
        <w:rPr>
          <w:color w:val="0F6FC6"/>
        </w:rPr>
      </w:pPr>
      <w:r>
        <w:rPr>
          <w:color w:val="0F6FC6"/>
        </w:rPr>
        <w:br w:type="page"/>
      </w:r>
      <w:bookmarkStart w:id="381" w:name="_Toc47449753"/>
      <w:bookmarkStart w:id="382" w:name="_Toc47451746"/>
    </w:p>
    <w:bookmarkEnd w:id="381"/>
    <w:bookmarkEnd w:id="382"/>
    <w:p>
      <w:pPr>
        <w:pageBreakBefore/>
        <w:shd w:val="clear" w:color="auto" w:fill="0F6FC6"/>
        <w:spacing w:before="156" w:beforeLines="50" w:after="312" w:afterLines="100" w:line="400" w:lineRule="atLeast"/>
        <w:jc w:val="center"/>
        <w:outlineLvl w:val="0"/>
        <w:rPr>
          <w:rFonts w:ascii="Calibri" w:hAnsi="Calibri" w:eastAsia="黑体"/>
          <w:b/>
          <w:caps/>
          <w:color w:val="FFFFFF"/>
          <w:sz w:val="32"/>
          <w:szCs w:val="32"/>
        </w:rPr>
      </w:pPr>
      <w:bookmarkStart w:id="383" w:name="_Toc48147211"/>
      <w:bookmarkStart w:id="384" w:name="_Toc80114356"/>
      <w:bookmarkStart w:id="385" w:name="_Toc92706771"/>
      <w:bookmarkStart w:id="386" w:name="_Toc47449766"/>
      <w:r>
        <w:rPr>
          <w:rFonts w:hint="eastAsia" w:ascii="Calibri" w:hAnsi="Calibri" w:eastAsia="黑体"/>
          <w:b/>
          <w:caps/>
          <w:color w:val="FFFFFF"/>
          <w:sz w:val="32"/>
          <w:szCs w:val="32"/>
        </w:rPr>
        <w:t>结 语</w:t>
      </w:r>
      <w:bookmarkEnd w:id="383"/>
      <w:bookmarkEnd w:id="384"/>
      <w:bookmarkEnd w:id="385"/>
      <w:bookmarkEnd w:id="386"/>
    </w:p>
    <w:p>
      <w:pPr>
        <w:pStyle w:val="118"/>
        <w:spacing w:line="360" w:lineRule="auto"/>
        <w:ind w:firstLine="480"/>
        <w:jc w:val="both"/>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促进高校毕业生就业创业，既是民生，也是国计，是社会稳定、和谐、健康发展的基础和保障，也是实现“两个一百年”奋斗目标、实现中华民族伟大复兴中国梦的基石。党中央、国务院始终把高校毕业生就业作为稳就业、保就业工作的重中之重，以实施高校毕业生就业创业促进计划为统领，以品质就业服务为支撑，精准施策，多方发力，以确保高校毕业生就业局势总体稳定。习近平总书记多次强调“就业是最大的民生工程、民心工程、根基工程，必须抓紧抓实抓好。把做好就业工作摆到突出位置，尤其是要切实做好以高校毕业生为重点的青年就业工作”。要求各级党委和政府要落实已有的政策和措施，努力创造就业岗位，尽力吸纳更多高校毕业生就业创业。同时，寄语广大青年，要志存高远、脚踏实地；要转变择业观念，坚持从实际出发，勇于到基层一线和艰苦的地方去，把人生的路一步步走稳走实，善于在平凡岗位上创造不平凡的业绩。希望广大青年学生把自己的人生追求同国家发展进步、人民伟大实践紧密结合起来，刻苦学习，脚踏实地，锐意进取，在创新创业中展示才华、服务社会。</w:t>
      </w:r>
    </w:p>
    <w:p>
      <w:pPr>
        <w:pStyle w:val="118"/>
        <w:spacing w:line="360" w:lineRule="auto"/>
        <w:ind w:firstLine="480"/>
        <w:jc w:val="both"/>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就业，牵动着千家万户的生活，不能单单依靠国家发力，在面对毕业生就业创业工作的新挑战和新要求，学校更要有新举措、新作为。</w:t>
      </w:r>
    </w:p>
    <w:p>
      <w:pPr>
        <w:pStyle w:val="118"/>
        <w:spacing w:line="360" w:lineRule="auto"/>
        <w:ind w:firstLine="480"/>
        <w:jc w:val="both"/>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未来的工作中，学校要全面贯彻党中央、国务院决策部署，落实会议精神，重点抓好高校毕业生就业问题，聚焦学生求职中的所思所忧所盼，综合运用各项政策措施和服务手段，健全就业服务机制；加强就业资源统筹，突出困难帮扶；引导扶持毕业生创新创业，努力实现毕业生高质量充分就业。同时，强化开放意识，重视教育质量，激发内涵素养，引导学生服务国家发展战略，鼓励学生深入基层一线建功立业，逐梦青春，为国家经济社会建设和民族伟大复兴做出更大的贡献！</w:t>
      </w:r>
    </w:p>
    <w:p>
      <w:pPr>
        <w:pStyle w:val="118"/>
        <w:spacing w:line="360" w:lineRule="auto"/>
        <w:ind w:firstLine="360"/>
        <w:jc w:val="both"/>
        <w:rPr>
          <w:color w:val="0F6FC6" w:themeColor="accent5"/>
          <w14:textFill>
            <w14:solidFill>
              <w14:schemeClr w14:val="accent5"/>
            </w14:solidFill>
          </w14:textFill>
        </w:rPr>
      </w:pPr>
      <w:r>
        <w:rPr>
          <w:color w:val="000000" w:themeColor="text1"/>
          <w14:textFill>
            <w14:solidFill>
              <w14:schemeClr w14:val="tx1"/>
            </w14:solidFill>
          </w14:textFill>
        </w:rPr>
        <w:br w:type="page"/>
      </w:r>
    </w:p>
    <w:p>
      <w:pPr>
        <w:pStyle w:val="118"/>
        <w:ind w:firstLine="0" w:firstLineChars="0"/>
        <w:rPr>
          <w:color w:val="0F6FC6" w:themeColor="accent5"/>
          <w14:textFill>
            <w14:solidFill>
              <w14:schemeClr w14:val="accent5"/>
            </w14:solidFill>
          </w14:textFill>
        </w:rPr>
      </w:pPr>
      <w:r>
        <w:rPr>
          <w:lang w:val="en-US"/>
        </w:rPr>
        <w:drawing>
          <wp:anchor distT="0" distB="0" distL="114300" distR="114300" simplePos="0" relativeHeight="251668480" behindDoc="1" locked="0" layoutInCell="1" allowOverlap="1">
            <wp:simplePos x="0" y="0"/>
            <wp:positionH relativeFrom="column">
              <wp:posOffset>-1099185</wp:posOffset>
            </wp:positionH>
            <wp:positionV relativeFrom="paragraph">
              <wp:posOffset>-880745</wp:posOffset>
            </wp:positionV>
            <wp:extent cx="7569835" cy="10256520"/>
            <wp:effectExtent l="0" t="0" r="0" b="0"/>
            <wp:wrapNone/>
            <wp:docPr id="1380" name="图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8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69835" cy="10256774"/>
                    </a:xfrm>
                    <a:prstGeom prst="rect">
                      <a:avLst/>
                    </a:prstGeom>
                  </pic:spPr>
                </pic:pic>
              </a:graphicData>
            </a:graphic>
          </wp:anchor>
        </w:drawing>
      </w:r>
    </w:p>
    <w:p>
      <w:pPr>
        <w:rPr>
          <w:rStyle w:val="37"/>
          <w:rFonts w:ascii="Times New Roman" w:hAnsi="Times New Roman" w:eastAsia="黑体" w:cs="黑体"/>
          <w:sz w:val="21"/>
          <w:szCs w:val="21"/>
        </w:rPr>
      </w:pPr>
    </w:p>
    <w:p>
      <w:pPr>
        <w:rPr>
          <w:rStyle w:val="37"/>
          <w:rFonts w:ascii="Times New Roman" w:hAnsi="Times New Roman" w:eastAsia="黑体" w:cs="黑体"/>
          <w:sz w:val="21"/>
          <w:szCs w:val="21"/>
        </w:rPr>
      </w:pPr>
    </w:p>
    <w:p>
      <w:pPr>
        <w:rPr>
          <w:rStyle w:val="37"/>
          <w:rFonts w:ascii="Times New Roman" w:hAnsi="Times New Roman" w:eastAsia="黑体" w:cs="黑体"/>
          <w:sz w:val="21"/>
          <w:szCs w:val="21"/>
        </w:rPr>
      </w:pPr>
    </w:p>
    <w:p>
      <w:pPr>
        <w:rPr>
          <w:rStyle w:val="37"/>
          <w:rFonts w:ascii="Times New Roman" w:hAnsi="Times New Roman" w:eastAsia="黑体" w:cs="黑体"/>
          <w:sz w:val="21"/>
          <w:szCs w:val="21"/>
        </w:rPr>
      </w:pPr>
    </w:p>
    <w:p>
      <w:pPr>
        <w:rPr>
          <w:rStyle w:val="37"/>
          <w:rFonts w:ascii="Times New Roman" w:hAnsi="Times New Roman" w:eastAsia="黑体" w:cs="黑体"/>
          <w:sz w:val="21"/>
          <w:szCs w:val="21"/>
        </w:rPr>
      </w:pPr>
    </w:p>
    <w:p>
      <w:pPr>
        <w:rPr>
          <w:rStyle w:val="37"/>
          <w:rFonts w:ascii="Times New Roman" w:hAnsi="Times New Roman" w:eastAsia="黑体" w:cs="黑体"/>
          <w:sz w:val="21"/>
          <w:szCs w:val="21"/>
        </w:rPr>
      </w:pPr>
    </w:p>
    <w:p>
      <w:pPr>
        <w:rPr>
          <w:rFonts w:ascii="Times New Roman" w:hAnsi="Times New Roman" w:eastAsia="黑体" w:cs="黑体"/>
          <w:b/>
          <w:bCs/>
          <w:sz w:val="21"/>
          <w:szCs w:val="21"/>
        </w:rPr>
      </w:pPr>
    </w:p>
    <w:p>
      <w:pPr>
        <w:rPr>
          <w:rFonts w:ascii="Times New Roman" w:hAnsi="Times New Roman" w:eastAsia="黑体" w:cs="黑体"/>
          <w:b/>
          <w:bCs/>
          <w:sz w:val="21"/>
          <w:szCs w:val="21"/>
        </w:rPr>
      </w:pPr>
    </w:p>
    <w:p>
      <w:pPr>
        <w:rPr>
          <w:rStyle w:val="37"/>
          <w:rFonts w:ascii="Times New Roman" w:hAnsi="Times New Roman" w:eastAsia="黑体" w:cs="黑体"/>
          <w:sz w:val="21"/>
          <w:szCs w:val="21"/>
        </w:rPr>
      </w:pPr>
    </w:p>
    <w:sectPr>
      <w:headerReference r:id="rId6" w:type="default"/>
      <w:pgSz w:w="11907" w:h="16160"/>
      <w:pgMar w:top="1418" w:right="1418" w:bottom="1418" w:left="1701" w:header="850" w:footer="397"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ˎ̥">
    <w:altName w:val="Times New Roman"/>
    <w:panose1 w:val="020B0604020202020204"/>
    <w:charset w:val="00"/>
    <w:family w:val="modern"/>
    <w:pitch w:val="default"/>
    <w:sig w:usb0="00000000" w:usb1="00000000" w:usb2="00000000" w:usb3="00000000" w:csb0="00040001" w:csb1="00000000"/>
  </w:font>
  <w:font w:name="Time New Roman">
    <w:altName w:val="Times New Roman"/>
    <w:panose1 w:val="020B0604020202020204"/>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imes New Roman" w:hAnsi="Times New Roman"/>
        <w:color w:val="0F6FC6" w:themeColor="accent5"/>
        <w:sz w:val="21"/>
        <w14:textFill>
          <w14:solidFill>
            <w14:schemeClr w14:val="accent5"/>
          </w14:solidFill>
        </w14:textFill>
      </w:rPr>
    </w:pPr>
    <w:r>
      <w:rPr>
        <w:rFonts w:ascii="Times New Roman" w:hAnsi="Times New Roman"/>
        <w:color w:val="0F6FC6" w:themeColor="accent5"/>
        <w:sz w:val="21"/>
        <w14:textFill>
          <w14:solidFill>
            <w14:schemeClr w14:val="accent5"/>
          </w14:solidFill>
        </w14:textFill>
      </w:rPr>
      <w:fldChar w:fldCharType="begin"/>
    </w:r>
    <w:r>
      <w:rPr>
        <w:rFonts w:ascii="Times New Roman" w:hAnsi="Times New Roman"/>
        <w:color w:val="0F6FC6" w:themeColor="accent5"/>
        <w:sz w:val="21"/>
        <w14:textFill>
          <w14:solidFill>
            <w14:schemeClr w14:val="accent5"/>
          </w14:solidFill>
        </w14:textFill>
      </w:rPr>
      <w:instrText xml:space="preserve">PAGE   \* MERGEFORMAT</w:instrText>
    </w:r>
    <w:r>
      <w:rPr>
        <w:rFonts w:ascii="Times New Roman" w:hAnsi="Times New Roman"/>
        <w:color w:val="0F6FC6" w:themeColor="accent5"/>
        <w:sz w:val="21"/>
        <w14:textFill>
          <w14:solidFill>
            <w14:schemeClr w14:val="accent5"/>
          </w14:solidFill>
        </w14:textFill>
      </w:rPr>
      <w:fldChar w:fldCharType="separate"/>
    </w:r>
    <w:r>
      <w:rPr>
        <w:rFonts w:ascii="Times New Roman" w:hAnsi="Times New Roman"/>
        <w:color w:val="0F6FC6" w:themeColor="accent5"/>
        <w:sz w:val="21"/>
        <w14:textFill>
          <w14:solidFill>
            <w14:schemeClr w14:val="accent5"/>
          </w14:solidFill>
        </w14:textFill>
      </w:rPr>
      <w:t>III</w:t>
    </w:r>
    <w:r>
      <w:rPr>
        <w:rFonts w:ascii="Times New Roman" w:hAnsi="Times New Roman"/>
        <w:color w:val="0F6FC6" w:themeColor="accent5"/>
        <w:sz w:val="21"/>
        <w14:textFill>
          <w14:solidFill>
            <w14:schemeClr w14:val="accent5"/>
          </w14:solidFill>
        </w14:textFill>
      </w:rPr>
      <w:fldChar w:fldCharType="end"/>
    </w:r>
  </w:p>
  <w:p>
    <w:pPr>
      <w:pStyle w:val="19"/>
      <w:tabs>
        <w:tab w:val="left" w:pos="2850"/>
        <w:tab w:val="left" w:pos="357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24"/>
        <w:spacing w:before="156" w:after="156"/>
        <w:jc w:val="both"/>
        <w:rPr>
          <w:rStyle w:val="39"/>
          <w:rFonts w:asciiTheme="minorEastAsia" w:hAnsiTheme="minorEastAsia" w:eastAsiaTheme="minorEastAsia"/>
          <w:color w:val="auto"/>
          <w:u w:val="none"/>
        </w:rPr>
      </w:pPr>
      <w:r>
        <w:rPr>
          <w:rStyle w:val="41"/>
        </w:rPr>
        <w:footnoteRef/>
      </w:r>
      <w:r>
        <w:rPr>
          <w:rStyle w:val="39"/>
          <w:rFonts w:hint="eastAsia" w:asciiTheme="minorEastAsia" w:hAnsiTheme="minorEastAsia" w:eastAsiaTheme="minorEastAsia"/>
          <w:color w:val="auto"/>
          <w:u w:val="none"/>
        </w:rPr>
        <w:t>针对毕业去向</w:t>
      </w:r>
      <w:r>
        <w:rPr>
          <w:rStyle w:val="39"/>
          <w:rFonts w:asciiTheme="minorEastAsia" w:hAnsiTheme="minorEastAsia" w:eastAsiaTheme="minorEastAsia"/>
          <w:color w:val="auto"/>
          <w:u w:val="none"/>
        </w:rPr>
        <w:t>为</w:t>
      </w:r>
      <w:bookmarkStart w:id="387" w:name="_Hlk48204813"/>
      <w:r>
        <w:rPr>
          <w:rStyle w:val="39"/>
          <w:rFonts w:hint="eastAsia" w:asciiTheme="minorEastAsia" w:hAnsiTheme="minorEastAsia" w:eastAsiaTheme="minorEastAsia"/>
          <w:color w:val="auto"/>
          <w:u w:val="none"/>
        </w:rPr>
        <w:t>协议</w:t>
      </w:r>
      <w:r>
        <w:rPr>
          <w:rFonts w:hint="eastAsia"/>
        </w:rPr>
        <w:t>和合同就业、自主创业、灵活就业</w:t>
      </w:r>
      <w:bookmarkEnd w:id="387"/>
      <w:r>
        <w:rPr>
          <w:rStyle w:val="39"/>
          <w:rFonts w:hint="eastAsia" w:asciiTheme="minorEastAsia" w:hAnsiTheme="minorEastAsia" w:eastAsiaTheme="minorEastAsia"/>
          <w:color w:val="auto"/>
          <w:u w:val="none"/>
        </w:rPr>
        <w:t>的</w:t>
      </w:r>
      <w:r>
        <w:rPr>
          <w:rStyle w:val="39"/>
          <w:rFonts w:asciiTheme="minorEastAsia" w:hAnsiTheme="minorEastAsia" w:eastAsiaTheme="minorEastAsia"/>
          <w:color w:val="auto"/>
          <w:u w:val="none"/>
        </w:rPr>
        <w:t>毕业生</w:t>
      </w:r>
      <w:r>
        <w:rPr>
          <w:rStyle w:val="39"/>
          <w:rFonts w:hint="eastAsia" w:asciiTheme="minorEastAsia" w:hAnsiTheme="minorEastAsia" w:eastAsiaTheme="minorEastAsia"/>
          <w:color w:val="auto"/>
          <w:u w:val="none"/>
        </w:rPr>
        <w:t>进一步</w:t>
      </w:r>
      <w:r>
        <w:rPr>
          <w:rStyle w:val="39"/>
          <w:rFonts w:asciiTheme="minorEastAsia" w:hAnsiTheme="minorEastAsia" w:eastAsiaTheme="minorEastAsia"/>
          <w:color w:val="auto"/>
          <w:u w:val="none"/>
        </w:rPr>
        <w:t>统计分析</w:t>
      </w:r>
      <w:r>
        <w:rPr>
          <w:rStyle w:val="39"/>
          <w:rFonts w:hint="eastAsia" w:asciiTheme="minorEastAsia" w:hAnsiTheme="minorEastAsia" w:eastAsiaTheme="minorEastAsia"/>
          <w:color w:val="auto"/>
          <w:u w:val="none"/>
        </w:rPr>
        <w:t>其</w:t>
      </w:r>
      <w:r>
        <w:rPr>
          <w:rStyle w:val="39"/>
          <w:rFonts w:asciiTheme="minorEastAsia" w:hAnsiTheme="minorEastAsia" w:eastAsiaTheme="minorEastAsia"/>
          <w:color w:val="auto"/>
          <w:u w:val="none"/>
        </w:rPr>
        <w:t>就业地区、就业单位、就业行业及就业职业分布。</w:t>
      </w:r>
    </w:p>
  </w:footnote>
  <w:footnote w:id="1">
    <w:p>
      <w:pPr>
        <w:pStyle w:val="24"/>
      </w:pPr>
      <w:r>
        <w:rPr>
          <w:rStyle w:val="41"/>
        </w:rPr>
        <w:footnoteRef/>
      </w:r>
      <w:r>
        <w:fldChar w:fldCharType="begin"/>
      </w:r>
      <w:r>
        <w:instrText xml:space="preserve"> HYPERLINK "https://baike.baidu.com/item/%E4%B8%AD%E9%83%A8%E5%9C%B0%E5%8C%BA/7549145" \t "_blank" </w:instrText>
      </w:r>
      <w:r>
        <w:fldChar w:fldCharType="separate"/>
      </w:r>
      <w:r>
        <w:rPr>
          <w:rStyle w:val="39"/>
          <w:rFonts w:eastAsiaTheme="minorEastAsia"/>
          <w:color w:val="auto"/>
          <w:u w:val="none"/>
        </w:rPr>
        <w:t>中部地区</w:t>
      </w:r>
      <w:r>
        <w:rPr>
          <w:rStyle w:val="39"/>
          <w:rFonts w:eastAsiaTheme="minorEastAsia"/>
          <w:color w:val="auto"/>
          <w:u w:val="none"/>
        </w:rPr>
        <w:fldChar w:fldCharType="end"/>
      </w:r>
      <w:r>
        <w:rPr>
          <w:rStyle w:val="39"/>
          <w:rFonts w:eastAsiaTheme="minorEastAsia"/>
          <w:color w:val="auto"/>
          <w:u w:val="none"/>
        </w:rPr>
        <w:t>有8个省（自治区、直辖市），分别是山西省、吉林省、黑龙江省、安徽省、江西省、河南省、湖北省、湖南省。西部地区</w:t>
      </w:r>
      <w:r>
        <w:rPr>
          <w:rStyle w:val="39"/>
          <w:rFonts w:hint="eastAsia" w:eastAsiaTheme="minorEastAsia"/>
          <w:color w:val="auto"/>
          <w:u w:val="none"/>
        </w:rPr>
        <w:t>有</w:t>
      </w:r>
      <w:r>
        <w:rPr>
          <w:rStyle w:val="39"/>
          <w:rFonts w:eastAsiaTheme="minorEastAsia"/>
          <w:color w:val="auto"/>
          <w:u w:val="none"/>
        </w:rPr>
        <w:t>12个</w:t>
      </w:r>
      <w:r>
        <w:fldChar w:fldCharType="begin"/>
      </w:r>
      <w:r>
        <w:instrText xml:space="preserve"> HYPERLINK "https://baike.baidu.com/item/%E7%9C%81%E7%BA%A7%E8%A1%8C%E6%94%BF%E5%8C%BA/4805340" \t "_blank" </w:instrText>
      </w:r>
      <w:r>
        <w:fldChar w:fldCharType="separate"/>
      </w:r>
      <w:r>
        <w:rPr>
          <w:rStyle w:val="39"/>
          <w:rFonts w:eastAsiaTheme="minorEastAsia"/>
          <w:color w:val="auto"/>
          <w:u w:val="none"/>
        </w:rPr>
        <w:t>省（自治区、直辖市）</w:t>
      </w:r>
      <w:r>
        <w:rPr>
          <w:rStyle w:val="39"/>
          <w:rFonts w:eastAsiaTheme="minorEastAsia"/>
          <w:color w:val="auto"/>
          <w:u w:val="none"/>
        </w:rPr>
        <w:fldChar w:fldCharType="end"/>
      </w:r>
      <w:r>
        <w:rPr>
          <w:rStyle w:val="39"/>
          <w:rFonts w:eastAsiaTheme="minorEastAsia"/>
          <w:color w:val="auto"/>
          <w:u w:val="none"/>
        </w:rPr>
        <w:t>，分别是四川</w:t>
      </w:r>
      <w:r>
        <w:rPr>
          <w:rStyle w:val="39"/>
          <w:rFonts w:hint="eastAsia" w:eastAsiaTheme="minorEastAsia"/>
          <w:color w:val="auto"/>
          <w:u w:val="none"/>
        </w:rPr>
        <w:t>省</w:t>
      </w:r>
      <w:r>
        <w:rPr>
          <w:rStyle w:val="39"/>
          <w:rFonts w:eastAsiaTheme="minorEastAsia"/>
          <w:color w:val="auto"/>
          <w:u w:val="none"/>
        </w:rPr>
        <w:t>、重庆</w:t>
      </w:r>
      <w:r>
        <w:rPr>
          <w:rStyle w:val="39"/>
          <w:rFonts w:hint="eastAsia" w:eastAsiaTheme="minorEastAsia"/>
          <w:color w:val="auto"/>
          <w:u w:val="none"/>
        </w:rPr>
        <w:t>市</w:t>
      </w:r>
      <w:r>
        <w:rPr>
          <w:rStyle w:val="39"/>
          <w:rFonts w:eastAsiaTheme="minorEastAsia"/>
          <w:color w:val="auto"/>
          <w:u w:val="none"/>
        </w:rPr>
        <w:t>、贵州</w:t>
      </w:r>
      <w:r>
        <w:rPr>
          <w:rStyle w:val="39"/>
          <w:rFonts w:hint="eastAsia" w:eastAsiaTheme="minorEastAsia"/>
          <w:color w:val="auto"/>
          <w:u w:val="none"/>
        </w:rPr>
        <w:t>省</w:t>
      </w:r>
      <w:r>
        <w:rPr>
          <w:rStyle w:val="39"/>
          <w:rFonts w:eastAsiaTheme="minorEastAsia"/>
          <w:color w:val="auto"/>
          <w:u w:val="none"/>
        </w:rPr>
        <w:t>、云南</w:t>
      </w:r>
      <w:r>
        <w:rPr>
          <w:rStyle w:val="39"/>
          <w:rFonts w:hint="eastAsia" w:eastAsiaTheme="minorEastAsia"/>
          <w:color w:val="auto"/>
          <w:u w:val="none"/>
        </w:rPr>
        <w:t>省</w:t>
      </w:r>
      <w:r>
        <w:rPr>
          <w:rStyle w:val="39"/>
          <w:rFonts w:eastAsiaTheme="minorEastAsia"/>
          <w:color w:val="auto"/>
          <w:u w:val="none"/>
        </w:rPr>
        <w:t>、西藏</w:t>
      </w:r>
      <w:r>
        <w:rPr>
          <w:rStyle w:val="39"/>
          <w:rFonts w:hint="eastAsia" w:eastAsiaTheme="minorEastAsia"/>
          <w:color w:val="auto"/>
          <w:u w:val="none"/>
        </w:rPr>
        <w:t>自治区</w:t>
      </w:r>
      <w:r>
        <w:rPr>
          <w:rStyle w:val="39"/>
          <w:rFonts w:eastAsiaTheme="minorEastAsia"/>
          <w:color w:val="auto"/>
          <w:u w:val="none"/>
        </w:rPr>
        <w:t>、陕西</w:t>
      </w:r>
      <w:r>
        <w:rPr>
          <w:rStyle w:val="39"/>
          <w:rFonts w:hint="eastAsia" w:eastAsiaTheme="minorEastAsia"/>
          <w:color w:val="auto"/>
          <w:u w:val="none"/>
        </w:rPr>
        <w:t>省</w:t>
      </w:r>
      <w:r>
        <w:rPr>
          <w:rStyle w:val="39"/>
          <w:rFonts w:eastAsiaTheme="minorEastAsia"/>
          <w:color w:val="auto"/>
          <w:u w:val="none"/>
        </w:rPr>
        <w:t>、甘肃</w:t>
      </w:r>
      <w:r>
        <w:rPr>
          <w:rStyle w:val="39"/>
          <w:rFonts w:hint="eastAsia" w:eastAsiaTheme="minorEastAsia"/>
          <w:color w:val="auto"/>
          <w:u w:val="none"/>
        </w:rPr>
        <w:t>省</w:t>
      </w:r>
      <w:r>
        <w:rPr>
          <w:rStyle w:val="39"/>
          <w:rFonts w:eastAsiaTheme="minorEastAsia"/>
          <w:color w:val="auto"/>
          <w:u w:val="none"/>
        </w:rPr>
        <w:t>、青海</w:t>
      </w:r>
      <w:r>
        <w:rPr>
          <w:rStyle w:val="39"/>
          <w:rFonts w:hint="eastAsia" w:eastAsiaTheme="minorEastAsia"/>
          <w:color w:val="auto"/>
          <w:u w:val="none"/>
        </w:rPr>
        <w:t>省</w:t>
      </w:r>
      <w:r>
        <w:rPr>
          <w:rStyle w:val="39"/>
          <w:rFonts w:eastAsiaTheme="minorEastAsia"/>
          <w:color w:val="auto"/>
          <w:u w:val="none"/>
        </w:rPr>
        <w:t>、宁夏</w:t>
      </w:r>
      <w:r>
        <w:rPr>
          <w:rStyle w:val="39"/>
          <w:rFonts w:hint="eastAsia" w:eastAsiaTheme="minorEastAsia"/>
          <w:color w:val="auto"/>
          <w:u w:val="none"/>
        </w:rPr>
        <w:t>回族自治区</w:t>
      </w:r>
      <w:r>
        <w:rPr>
          <w:rStyle w:val="39"/>
          <w:rFonts w:eastAsiaTheme="minorEastAsia"/>
          <w:color w:val="auto"/>
          <w:u w:val="none"/>
        </w:rPr>
        <w:t>、新疆</w:t>
      </w:r>
      <w:r>
        <w:rPr>
          <w:rStyle w:val="39"/>
          <w:rFonts w:hint="eastAsia" w:eastAsiaTheme="minorEastAsia"/>
          <w:color w:val="auto"/>
          <w:u w:val="none"/>
        </w:rPr>
        <w:t>维吾尔自治区</w:t>
      </w:r>
      <w:r>
        <w:rPr>
          <w:rStyle w:val="39"/>
          <w:rFonts w:eastAsiaTheme="minorEastAsia"/>
          <w:color w:val="auto"/>
          <w:u w:val="none"/>
        </w:rPr>
        <w:t>、广西</w:t>
      </w:r>
      <w:r>
        <w:rPr>
          <w:rStyle w:val="39"/>
          <w:rFonts w:hint="eastAsia" w:eastAsiaTheme="minorEastAsia"/>
          <w:color w:val="auto"/>
          <w:u w:val="none"/>
        </w:rPr>
        <w:t>壮族自治区</w:t>
      </w:r>
      <w:r>
        <w:rPr>
          <w:rStyle w:val="39"/>
          <w:rFonts w:eastAsiaTheme="minorEastAsia"/>
          <w:color w:val="auto"/>
          <w:u w:val="none"/>
        </w:rPr>
        <w:t>、内蒙古</w:t>
      </w:r>
      <w:r>
        <w:rPr>
          <w:rStyle w:val="39"/>
          <w:rFonts w:hint="eastAsia" w:eastAsiaTheme="minorEastAsia"/>
          <w:color w:val="auto"/>
          <w:u w:val="none"/>
        </w:rPr>
        <w:t>自治区。</w:t>
      </w:r>
    </w:p>
  </w:footnote>
  <w:footnote w:id="2">
    <w:p>
      <w:pPr>
        <w:pStyle w:val="24"/>
      </w:pPr>
      <w:r>
        <w:rPr>
          <w:rStyle w:val="41"/>
        </w:rPr>
        <w:footnoteRef/>
      </w:r>
      <w:r>
        <w:rPr>
          <w:rFonts w:hint="eastAsia"/>
        </w:rPr>
        <w:t>此部分针对未就业状态为“求职中”的毕业生群体进行调查分析。</w:t>
      </w:r>
    </w:p>
  </w:footnote>
  <w:footnote w:id="3">
    <w:p>
      <w:pPr>
        <w:pStyle w:val="24"/>
      </w:pPr>
      <w:r>
        <w:rPr>
          <w:rStyle w:val="41"/>
        </w:rPr>
        <w:footnoteRef/>
      </w:r>
      <w:r>
        <w:rPr>
          <w:rFonts w:hint="eastAsia"/>
        </w:rPr>
        <w:t>工作总体满意度为独立题目，不能根据职业发展前景满意度、工作内容满意度、薪酬满意度计算得出。</w:t>
      </w:r>
    </w:p>
  </w:footnote>
  <w:footnote w:id="4">
    <w:p>
      <w:pPr>
        <w:pStyle w:val="24"/>
      </w:pPr>
      <w:r>
        <w:rPr>
          <w:rStyle w:val="41"/>
        </w:rPr>
        <w:footnoteRef/>
      </w:r>
      <w:r>
        <w:rPr>
          <w:rFonts w:hint="eastAsia"/>
        </w:rPr>
        <w:t>工作总体满意度为独立题目，不能根据职业发展前景满意度、工作内容满意度、薪酬满意度计算得出。</w:t>
      </w:r>
    </w:p>
  </w:footnote>
  <w:footnote w:id="5">
    <w:p>
      <w:pPr>
        <w:pStyle w:val="24"/>
      </w:pPr>
      <w:r>
        <w:rPr>
          <w:rStyle w:val="41"/>
        </w:rPr>
        <w:footnoteRef/>
      </w:r>
      <w:r>
        <w:t xml:space="preserve"> </w:t>
      </w:r>
      <w:r>
        <w:rPr>
          <w:rFonts w:hint="eastAsia"/>
        </w:rPr>
        <w:t>专科样本量较小，故未展开分析。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left"/>
    </w:pPr>
    <w:r>
      <w:rPr>
        <w:lang w:val="en-US"/>
      </w:rPr>
      <w:drawing>
        <wp:inline distT="0" distB="0" distL="0" distR="0">
          <wp:extent cx="5580380" cy="166370"/>
          <wp:effectExtent l="0" t="0" r="1270" b="5080"/>
          <wp:docPr id="1384" name="图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80380" cy="1663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r>
      <w:rPr>
        <w:lang w:val="en-US"/>
      </w:rPr>
      <w:drawing>
        <wp:inline distT="0" distB="0" distL="0" distR="0">
          <wp:extent cx="5580380" cy="166370"/>
          <wp:effectExtent l="0" t="0" r="127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80380" cy="1663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bordersDoNotSurroundHeader w:val="1"/>
  <w:bordersDoNotSurroundFooter w:val="1"/>
  <w:hideSpellingErrors/>
  <w:documentProtection w:enforcement="0"/>
  <w:defaultTabStop w:val="420"/>
  <w:drawingGridHorizontalSpacing w:val="100"/>
  <w:drawingGridVerticalSpacing w:val="156"/>
  <w:displayHorizontalDrawingGridEvery w:val="0"/>
  <w:displayVerticalDrawingGridEvery w:val="2"/>
  <w:characterSpacingControl w:val="compressPunctuation"/>
  <w:footnotePr>
    <w:footnote w:id="12"/>
    <w:footnote w:id="1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2EC"/>
    <w:rsid w:val="0000073D"/>
    <w:rsid w:val="00000B6D"/>
    <w:rsid w:val="00000D08"/>
    <w:rsid w:val="00001782"/>
    <w:rsid w:val="000017C0"/>
    <w:rsid w:val="0000228F"/>
    <w:rsid w:val="00002810"/>
    <w:rsid w:val="00002901"/>
    <w:rsid w:val="00002954"/>
    <w:rsid w:val="00002B12"/>
    <w:rsid w:val="00002DDA"/>
    <w:rsid w:val="00002F4F"/>
    <w:rsid w:val="0000308E"/>
    <w:rsid w:val="000030C0"/>
    <w:rsid w:val="00003E3C"/>
    <w:rsid w:val="00004466"/>
    <w:rsid w:val="00004656"/>
    <w:rsid w:val="00005528"/>
    <w:rsid w:val="000062F9"/>
    <w:rsid w:val="000064C7"/>
    <w:rsid w:val="0000662B"/>
    <w:rsid w:val="00006934"/>
    <w:rsid w:val="00006A3D"/>
    <w:rsid w:val="00006B1C"/>
    <w:rsid w:val="00006B72"/>
    <w:rsid w:val="000078F2"/>
    <w:rsid w:val="00007930"/>
    <w:rsid w:val="00007E34"/>
    <w:rsid w:val="0001029A"/>
    <w:rsid w:val="000102A6"/>
    <w:rsid w:val="00010510"/>
    <w:rsid w:val="00010628"/>
    <w:rsid w:val="00010C98"/>
    <w:rsid w:val="00011731"/>
    <w:rsid w:val="00012497"/>
    <w:rsid w:val="000124FB"/>
    <w:rsid w:val="000128F5"/>
    <w:rsid w:val="00013B3E"/>
    <w:rsid w:val="0001420F"/>
    <w:rsid w:val="000153C0"/>
    <w:rsid w:val="000153F4"/>
    <w:rsid w:val="00015854"/>
    <w:rsid w:val="00015A2F"/>
    <w:rsid w:val="00015CCB"/>
    <w:rsid w:val="0001651A"/>
    <w:rsid w:val="00017031"/>
    <w:rsid w:val="0001774D"/>
    <w:rsid w:val="00017AD3"/>
    <w:rsid w:val="0002007D"/>
    <w:rsid w:val="00020137"/>
    <w:rsid w:val="00020C6A"/>
    <w:rsid w:val="00020EDD"/>
    <w:rsid w:val="000224EE"/>
    <w:rsid w:val="00022AE1"/>
    <w:rsid w:val="00022B27"/>
    <w:rsid w:val="00022C3B"/>
    <w:rsid w:val="00022E4D"/>
    <w:rsid w:val="000237F7"/>
    <w:rsid w:val="00023967"/>
    <w:rsid w:val="00023D63"/>
    <w:rsid w:val="0002535C"/>
    <w:rsid w:val="00026BE0"/>
    <w:rsid w:val="00027202"/>
    <w:rsid w:val="0002720D"/>
    <w:rsid w:val="000305EE"/>
    <w:rsid w:val="00030655"/>
    <w:rsid w:val="000306C9"/>
    <w:rsid w:val="000308E5"/>
    <w:rsid w:val="00030A92"/>
    <w:rsid w:val="00030A9D"/>
    <w:rsid w:val="00031904"/>
    <w:rsid w:val="00031D55"/>
    <w:rsid w:val="000327CA"/>
    <w:rsid w:val="00032C74"/>
    <w:rsid w:val="00033334"/>
    <w:rsid w:val="000333D0"/>
    <w:rsid w:val="00034410"/>
    <w:rsid w:val="00034495"/>
    <w:rsid w:val="00035361"/>
    <w:rsid w:val="00035A4B"/>
    <w:rsid w:val="00035FE6"/>
    <w:rsid w:val="000364C1"/>
    <w:rsid w:val="000367AB"/>
    <w:rsid w:val="00036904"/>
    <w:rsid w:val="00036A94"/>
    <w:rsid w:val="00036F55"/>
    <w:rsid w:val="000372F2"/>
    <w:rsid w:val="00037335"/>
    <w:rsid w:val="000374D3"/>
    <w:rsid w:val="00037B36"/>
    <w:rsid w:val="000401DF"/>
    <w:rsid w:val="000401EB"/>
    <w:rsid w:val="000415E8"/>
    <w:rsid w:val="0004167D"/>
    <w:rsid w:val="0004186E"/>
    <w:rsid w:val="0004246F"/>
    <w:rsid w:val="00042581"/>
    <w:rsid w:val="00042A94"/>
    <w:rsid w:val="00042C82"/>
    <w:rsid w:val="00043116"/>
    <w:rsid w:val="00043407"/>
    <w:rsid w:val="00043EEE"/>
    <w:rsid w:val="00045102"/>
    <w:rsid w:val="00046E07"/>
    <w:rsid w:val="000475AB"/>
    <w:rsid w:val="00047956"/>
    <w:rsid w:val="00050331"/>
    <w:rsid w:val="000506E7"/>
    <w:rsid w:val="00050A3C"/>
    <w:rsid w:val="00050BB9"/>
    <w:rsid w:val="00051DDA"/>
    <w:rsid w:val="00052579"/>
    <w:rsid w:val="000525C9"/>
    <w:rsid w:val="00052C06"/>
    <w:rsid w:val="00052D1B"/>
    <w:rsid w:val="00052E7C"/>
    <w:rsid w:val="00052EC2"/>
    <w:rsid w:val="00052FC6"/>
    <w:rsid w:val="00053245"/>
    <w:rsid w:val="00053AE4"/>
    <w:rsid w:val="00054621"/>
    <w:rsid w:val="00054743"/>
    <w:rsid w:val="00054A32"/>
    <w:rsid w:val="00054B23"/>
    <w:rsid w:val="0005545F"/>
    <w:rsid w:val="00055E08"/>
    <w:rsid w:val="00056DC0"/>
    <w:rsid w:val="00057193"/>
    <w:rsid w:val="00057471"/>
    <w:rsid w:val="00057C2D"/>
    <w:rsid w:val="000604F2"/>
    <w:rsid w:val="0006102A"/>
    <w:rsid w:val="000611A6"/>
    <w:rsid w:val="000613E3"/>
    <w:rsid w:val="00061470"/>
    <w:rsid w:val="00061883"/>
    <w:rsid w:val="00061B0E"/>
    <w:rsid w:val="00061E59"/>
    <w:rsid w:val="000623FF"/>
    <w:rsid w:val="00062EE6"/>
    <w:rsid w:val="00062FB6"/>
    <w:rsid w:val="00063059"/>
    <w:rsid w:val="00064C99"/>
    <w:rsid w:val="000656AB"/>
    <w:rsid w:val="00065D51"/>
    <w:rsid w:val="00066E22"/>
    <w:rsid w:val="00066FB4"/>
    <w:rsid w:val="000671D2"/>
    <w:rsid w:val="00067897"/>
    <w:rsid w:val="00067EFD"/>
    <w:rsid w:val="00067FCD"/>
    <w:rsid w:val="000706B2"/>
    <w:rsid w:val="00070E9A"/>
    <w:rsid w:val="00070F10"/>
    <w:rsid w:val="00071021"/>
    <w:rsid w:val="000710D0"/>
    <w:rsid w:val="000718C3"/>
    <w:rsid w:val="0007216E"/>
    <w:rsid w:val="000721C9"/>
    <w:rsid w:val="00072B75"/>
    <w:rsid w:val="00072C03"/>
    <w:rsid w:val="000734B4"/>
    <w:rsid w:val="0007360E"/>
    <w:rsid w:val="0007393A"/>
    <w:rsid w:val="00073AB1"/>
    <w:rsid w:val="00073E92"/>
    <w:rsid w:val="0007466F"/>
    <w:rsid w:val="00074DD1"/>
    <w:rsid w:val="000761A6"/>
    <w:rsid w:val="0007657C"/>
    <w:rsid w:val="000765AD"/>
    <w:rsid w:val="000765EB"/>
    <w:rsid w:val="00076814"/>
    <w:rsid w:val="00077F13"/>
    <w:rsid w:val="000806AC"/>
    <w:rsid w:val="000816AA"/>
    <w:rsid w:val="00081C95"/>
    <w:rsid w:val="00081D44"/>
    <w:rsid w:val="00081F34"/>
    <w:rsid w:val="00082012"/>
    <w:rsid w:val="0008217B"/>
    <w:rsid w:val="00082AD7"/>
    <w:rsid w:val="00082B61"/>
    <w:rsid w:val="00082C25"/>
    <w:rsid w:val="00083008"/>
    <w:rsid w:val="00083149"/>
    <w:rsid w:val="00083E76"/>
    <w:rsid w:val="000844CB"/>
    <w:rsid w:val="00085BCE"/>
    <w:rsid w:val="0008699A"/>
    <w:rsid w:val="00087101"/>
    <w:rsid w:val="00087D8D"/>
    <w:rsid w:val="000904BE"/>
    <w:rsid w:val="00090564"/>
    <w:rsid w:val="0009081F"/>
    <w:rsid w:val="00090CC3"/>
    <w:rsid w:val="00091204"/>
    <w:rsid w:val="000913B9"/>
    <w:rsid w:val="000917BE"/>
    <w:rsid w:val="00091BC1"/>
    <w:rsid w:val="00091E32"/>
    <w:rsid w:val="000929A5"/>
    <w:rsid w:val="00092FE5"/>
    <w:rsid w:val="000931C5"/>
    <w:rsid w:val="0009333D"/>
    <w:rsid w:val="00093C4E"/>
    <w:rsid w:val="00093CCD"/>
    <w:rsid w:val="000940BA"/>
    <w:rsid w:val="00094525"/>
    <w:rsid w:val="000953BE"/>
    <w:rsid w:val="00095664"/>
    <w:rsid w:val="00095666"/>
    <w:rsid w:val="00095A4A"/>
    <w:rsid w:val="00095E09"/>
    <w:rsid w:val="0009612F"/>
    <w:rsid w:val="00096C6F"/>
    <w:rsid w:val="00096E71"/>
    <w:rsid w:val="00096F60"/>
    <w:rsid w:val="00097763"/>
    <w:rsid w:val="00097AF7"/>
    <w:rsid w:val="00097B4C"/>
    <w:rsid w:val="00097DF1"/>
    <w:rsid w:val="00097DFB"/>
    <w:rsid w:val="000A0F69"/>
    <w:rsid w:val="000A10B0"/>
    <w:rsid w:val="000A117A"/>
    <w:rsid w:val="000A1638"/>
    <w:rsid w:val="000A16D0"/>
    <w:rsid w:val="000A2396"/>
    <w:rsid w:val="000A2730"/>
    <w:rsid w:val="000A2B6D"/>
    <w:rsid w:val="000A2DC0"/>
    <w:rsid w:val="000A2F85"/>
    <w:rsid w:val="000A42AA"/>
    <w:rsid w:val="000A4422"/>
    <w:rsid w:val="000A4679"/>
    <w:rsid w:val="000A47E8"/>
    <w:rsid w:val="000A4AF7"/>
    <w:rsid w:val="000A5C63"/>
    <w:rsid w:val="000A66C4"/>
    <w:rsid w:val="000A6792"/>
    <w:rsid w:val="000A68F2"/>
    <w:rsid w:val="000A7954"/>
    <w:rsid w:val="000B03E5"/>
    <w:rsid w:val="000B0553"/>
    <w:rsid w:val="000B07B9"/>
    <w:rsid w:val="000B07D4"/>
    <w:rsid w:val="000B09FF"/>
    <w:rsid w:val="000B0B6B"/>
    <w:rsid w:val="000B11EA"/>
    <w:rsid w:val="000B12C3"/>
    <w:rsid w:val="000B192A"/>
    <w:rsid w:val="000B24BA"/>
    <w:rsid w:val="000B25E4"/>
    <w:rsid w:val="000B28AD"/>
    <w:rsid w:val="000B2CC6"/>
    <w:rsid w:val="000B2CE5"/>
    <w:rsid w:val="000B2CF3"/>
    <w:rsid w:val="000B5046"/>
    <w:rsid w:val="000B67AF"/>
    <w:rsid w:val="000B70E6"/>
    <w:rsid w:val="000B7BD4"/>
    <w:rsid w:val="000C02DC"/>
    <w:rsid w:val="000C068D"/>
    <w:rsid w:val="000C1622"/>
    <w:rsid w:val="000C1C42"/>
    <w:rsid w:val="000C1FEC"/>
    <w:rsid w:val="000C2926"/>
    <w:rsid w:val="000C2B52"/>
    <w:rsid w:val="000C2E04"/>
    <w:rsid w:val="000C3392"/>
    <w:rsid w:val="000C3846"/>
    <w:rsid w:val="000C3DC1"/>
    <w:rsid w:val="000C4B83"/>
    <w:rsid w:val="000C4F2E"/>
    <w:rsid w:val="000C4F67"/>
    <w:rsid w:val="000C5324"/>
    <w:rsid w:val="000C5B0F"/>
    <w:rsid w:val="000C6ECA"/>
    <w:rsid w:val="000C6F13"/>
    <w:rsid w:val="000C6F86"/>
    <w:rsid w:val="000C70B3"/>
    <w:rsid w:val="000C7694"/>
    <w:rsid w:val="000C7697"/>
    <w:rsid w:val="000C7B64"/>
    <w:rsid w:val="000C7DAF"/>
    <w:rsid w:val="000D0827"/>
    <w:rsid w:val="000D0851"/>
    <w:rsid w:val="000D0A15"/>
    <w:rsid w:val="000D0B87"/>
    <w:rsid w:val="000D0F02"/>
    <w:rsid w:val="000D1D31"/>
    <w:rsid w:val="000D1F11"/>
    <w:rsid w:val="000D23BD"/>
    <w:rsid w:val="000D2425"/>
    <w:rsid w:val="000D2467"/>
    <w:rsid w:val="000D2697"/>
    <w:rsid w:val="000D2F1F"/>
    <w:rsid w:val="000D33B2"/>
    <w:rsid w:val="000D3410"/>
    <w:rsid w:val="000D34D0"/>
    <w:rsid w:val="000D3C10"/>
    <w:rsid w:val="000D3C5E"/>
    <w:rsid w:val="000D43B2"/>
    <w:rsid w:val="000D4631"/>
    <w:rsid w:val="000D4DEE"/>
    <w:rsid w:val="000D4FF9"/>
    <w:rsid w:val="000D51D9"/>
    <w:rsid w:val="000D5235"/>
    <w:rsid w:val="000D54F6"/>
    <w:rsid w:val="000D598D"/>
    <w:rsid w:val="000D5BB0"/>
    <w:rsid w:val="000D5C9B"/>
    <w:rsid w:val="000D5F0A"/>
    <w:rsid w:val="000D5F32"/>
    <w:rsid w:val="000D64E6"/>
    <w:rsid w:val="000D672F"/>
    <w:rsid w:val="000D6789"/>
    <w:rsid w:val="000D685D"/>
    <w:rsid w:val="000D6A22"/>
    <w:rsid w:val="000D6EEC"/>
    <w:rsid w:val="000D70AB"/>
    <w:rsid w:val="000D7942"/>
    <w:rsid w:val="000E061C"/>
    <w:rsid w:val="000E06E6"/>
    <w:rsid w:val="000E0A71"/>
    <w:rsid w:val="000E0BBE"/>
    <w:rsid w:val="000E1052"/>
    <w:rsid w:val="000E1340"/>
    <w:rsid w:val="000E1460"/>
    <w:rsid w:val="000E1F73"/>
    <w:rsid w:val="000E2108"/>
    <w:rsid w:val="000E226B"/>
    <w:rsid w:val="000E2465"/>
    <w:rsid w:val="000E270F"/>
    <w:rsid w:val="000E2AA1"/>
    <w:rsid w:val="000E2B3A"/>
    <w:rsid w:val="000E2C7A"/>
    <w:rsid w:val="000E31CC"/>
    <w:rsid w:val="000E328C"/>
    <w:rsid w:val="000E3486"/>
    <w:rsid w:val="000E3C5C"/>
    <w:rsid w:val="000E3D00"/>
    <w:rsid w:val="000E4275"/>
    <w:rsid w:val="000E4D1C"/>
    <w:rsid w:val="000E5272"/>
    <w:rsid w:val="000E529D"/>
    <w:rsid w:val="000E55F5"/>
    <w:rsid w:val="000E5B11"/>
    <w:rsid w:val="000E5C31"/>
    <w:rsid w:val="000E5CF4"/>
    <w:rsid w:val="000E5F6F"/>
    <w:rsid w:val="000E65D6"/>
    <w:rsid w:val="000E76B9"/>
    <w:rsid w:val="000E7799"/>
    <w:rsid w:val="000F0268"/>
    <w:rsid w:val="000F0D5F"/>
    <w:rsid w:val="000F1C35"/>
    <w:rsid w:val="000F2441"/>
    <w:rsid w:val="000F31B3"/>
    <w:rsid w:val="000F366E"/>
    <w:rsid w:val="000F3A7A"/>
    <w:rsid w:val="000F3B44"/>
    <w:rsid w:val="000F43DC"/>
    <w:rsid w:val="000F4ADD"/>
    <w:rsid w:val="000F4F8A"/>
    <w:rsid w:val="000F5489"/>
    <w:rsid w:val="000F549A"/>
    <w:rsid w:val="000F5849"/>
    <w:rsid w:val="000F613E"/>
    <w:rsid w:val="000F614F"/>
    <w:rsid w:val="000F6156"/>
    <w:rsid w:val="000F6328"/>
    <w:rsid w:val="00100553"/>
    <w:rsid w:val="001016D6"/>
    <w:rsid w:val="00101933"/>
    <w:rsid w:val="00101D64"/>
    <w:rsid w:val="001029D0"/>
    <w:rsid w:val="00102A07"/>
    <w:rsid w:val="00102AE9"/>
    <w:rsid w:val="00102CBE"/>
    <w:rsid w:val="0010346C"/>
    <w:rsid w:val="001036B7"/>
    <w:rsid w:val="00103A4C"/>
    <w:rsid w:val="00103BDD"/>
    <w:rsid w:val="0010445C"/>
    <w:rsid w:val="00104E03"/>
    <w:rsid w:val="00105328"/>
    <w:rsid w:val="00105443"/>
    <w:rsid w:val="00105500"/>
    <w:rsid w:val="00105B2E"/>
    <w:rsid w:val="001062F5"/>
    <w:rsid w:val="001063C5"/>
    <w:rsid w:val="00106894"/>
    <w:rsid w:val="00106D10"/>
    <w:rsid w:val="001102CD"/>
    <w:rsid w:val="0011070D"/>
    <w:rsid w:val="00110763"/>
    <w:rsid w:val="001109F1"/>
    <w:rsid w:val="00110A9B"/>
    <w:rsid w:val="0011130D"/>
    <w:rsid w:val="0011151F"/>
    <w:rsid w:val="001119BC"/>
    <w:rsid w:val="001137CF"/>
    <w:rsid w:val="00113D10"/>
    <w:rsid w:val="001147BD"/>
    <w:rsid w:val="00115641"/>
    <w:rsid w:val="00115C1A"/>
    <w:rsid w:val="00117D8E"/>
    <w:rsid w:val="00117E6A"/>
    <w:rsid w:val="001200C2"/>
    <w:rsid w:val="00120419"/>
    <w:rsid w:val="00121784"/>
    <w:rsid w:val="00121D94"/>
    <w:rsid w:val="00122A1B"/>
    <w:rsid w:val="001235DA"/>
    <w:rsid w:val="001239F4"/>
    <w:rsid w:val="00123B75"/>
    <w:rsid w:val="00124520"/>
    <w:rsid w:val="0012479B"/>
    <w:rsid w:val="00125371"/>
    <w:rsid w:val="00125B00"/>
    <w:rsid w:val="00125DBE"/>
    <w:rsid w:val="001262A8"/>
    <w:rsid w:val="001263FE"/>
    <w:rsid w:val="001265AA"/>
    <w:rsid w:val="00126948"/>
    <w:rsid w:val="00126C11"/>
    <w:rsid w:val="00126C57"/>
    <w:rsid w:val="0012729F"/>
    <w:rsid w:val="0012748B"/>
    <w:rsid w:val="00127753"/>
    <w:rsid w:val="001277F4"/>
    <w:rsid w:val="00127DAF"/>
    <w:rsid w:val="00127FA8"/>
    <w:rsid w:val="0013017A"/>
    <w:rsid w:val="00130185"/>
    <w:rsid w:val="001303F8"/>
    <w:rsid w:val="00130494"/>
    <w:rsid w:val="00130AAE"/>
    <w:rsid w:val="001310BD"/>
    <w:rsid w:val="00131182"/>
    <w:rsid w:val="001311EF"/>
    <w:rsid w:val="00131BA8"/>
    <w:rsid w:val="00131C15"/>
    <w:rsid w:val="00131D63"/>
    <w:rsid w:val="00132A1B"/>
    <w:rsid w:val="00132AB3"/>
    <w:rsid w:val="00132D85"/>
    <w:rsid w:val="00132F90"/>
    <w:rsid w:val="00132FDC"/>
    <w:rsid w:val="00133E42"/>
    <w:rsid w:val="00133EDB"/>
    <w:rsid w:val="00133F31"/>
    <w:rsid w:val="001344C1"/>
    <w:rsid w:val="001344CC"/>
    <w:rsid w:val="0013473D"/>
    <w:rsid w:val="00134D3A"/>
    <w:rsid w:val="00135391"/>
    <w:rsid w:val="00135829"/>
    <w:rsid w:val="00136D2C"/>
    <w:rsid w:val="001374E6"/>
    <w:rsid w:val="0013751B"/>
    <w:rsid w:val="00137AAB"/>
    <w:rsid w:val="00137FCB"/>
    <w:rsid w:val="001402A0"/>
    <w:rsid w:val="00140759"/>
    <w:rsid w:val="001409C9"/>
    <w:rsid w:val="00140DED"/>
    <w:rsid w:val="0014114F"/>
    <w:rsid w:val="0014184C"/>
    <w:rsid w:val="00141B65"/>
    <w:rsid w:val="00141F59"/>
    <w:rsid w:val="00142429"/>
    <w:rsid w:val="00142578"/>
    <w:rsid w:val="00142701"/>
    <w:rsid w:val="001427C3"/>
    <w:rsid w:val="001427DC"/>
    <w:rsid w:val="00142CEC"/>
    <w:rsid w:val="00142D7A"/>
    <w:rsid w:val="00143741"/>
    <w:rsid w:val="00143CEC"/>
    <w:rsid w:val="00143F7C"/>
    <w:rsid w:val="0014413D"/>
    <w:rsid w:val="001441D2"/>
    <w:rsid w:val="0014441F"/>
    <w:rsid w:val="00144914"/>
    <w:rsid w:val="00144989"/>
    <w:rsid w:val="00145250"/>
    <w:rsid w:val="00145545"/>
    <w:rsid w:val="00145CA9"/>
    <w:rsid w:val="00145FF1"/>
    <w:rsid w:val="001468E9"/>
    <w:rsid w:val="00146B25"/>
    <w:rsid w:val="0014704E"/>
    <w:rsid w:val="001474A6"/>
    <w:rsid w:val="00147654"/>
    <w:rsid w:val="001476AD"/>
    <w:rsid w:val="00147A13"/>
    <w:rsid w:val="0015023D"/>
    <w:rsid w:val="001502C1"/>
    <w:rsid w:val="00150475"/>
    <w:rsid w:val="00150D4D"/>
    <w:rsid w:val="00151041"/>
    <w:rsid w:val="0015140C"/>
    <w:rsid w:val="0015146D"/>
    <w:rsid w:val="001515B4"/>
    <w:rsid w:val="0015179F"/>
    <w:rsid w:val="00151DC4"/>
    <w:rsid w:val="00152199"/>
    <w:rsid w:val="001527E0"/>
    <w:rsid w:val="0015281E"/>
    <w:rsid w:val="001537EC"/>
    <w:rsid w:val="00154667"/>
    <w:rsid w:val="00154798"/>
    <w:rsid w:val="00154CCB"/>
    <w:rsid w:val="001556B9"/>
    <w:rsid w:val="00155C75"/>
    <w:rsid w:val="0015733D"/>
    <w:rsid w:val="0015751E"/>
    <w:rsid w:val="001608A5"/>
    <w:rsid w:val="00160B1D"/>
    <w:rsid w:val="00160D6E"/>
    <w:rsid w:val="00160FC6"/>
    <w:rsid w:val="00161187"/>
    <w:rsid w:val="001611CB"/>
    <w:rsid w:val="001614D3"/>
    <w:rsid w:val="001618FA"/>
    <w:rsid w:val="00161B41"/>
    <w:rsid w:val="00161F24"/>
    <w:rsid w:val="001624D6"/>
    <w:rsid w:val="0016323E"/>
    <w:rsid w:val="001637DC"/>
    <w:rsid w:val="00163ADB"/>
    <w:rsid w:val="00163C5D"/>
    <w:rsid w:val="00164AD1"/>
    <w:rsid w:val="00164F9B"/>
    <w:rsid w:val="001652FE"/>
    <w:rsid w:val="00165334"/>
    <w:rsid w:val="00165569"/>
    <w:rsid w:val="00165D7D"/>
    <w:rsid w:val="00165EA3"/>
    <w:rsid w:val="001664C4"/>
    <w:rsid w:val="00166CA5"/>
    <w:rsid w:val="00167BED"/>
    <w:rsid w:val="001701CA"/>
    <w:rsid w:val="001701EC"/>
    <w:rsid w:val="00170572"/>
    <w:rsid w:val="00170885"/>
    <w:rsid w:val="00170B3D"/>
    <w:rsid w:val="00171457"/>
    <w:rsid w:val="00171487"/>
    <w:rsid w:val="00172251"/>
    <w:rsid w:val="001727F5"/>
    <w:rsid w:val="00172DD9"/>
    <w:rsid w:val="00172E9C"/>
    <w:rsid w:val="00173236"/>
    <w:rsid w:val="00173463"/>
    <w:rsid w:val="0017370F"/>
    <w:rsid w:val="001737C2"/>
    <w:rsid w:val="0017426D"/>
    <w:rsid w:val="001750BB"/>
    <w:rsid w:val="00175634"/>
    <w:rsid w:val="001757C9"/>
    <w:rsid w:val="00175848"/>
    <w:rsid w:val="00175D07"/>
    <w:rsid w:val="001761CB"/>
    <w:rsid w:val="00176923"/>
    <w:rsid w:val="001769E9"/>
    <w:rsid w:val="001779EE"/>
    <w:rsid w:val="00177FF9"/>
    <w:rsid w:val="00180156"/>
    <w:rsid w:val="00180358"/>
    <w:rsid w:val="0018040F"/>
    <w:rsid w:val="00180CEA"/>
    <w:rsid w:val="00181CB9"/>
    <w:rsid w:val="00181D3A"/>
    <w:rsid w:val="00182020"/>
    <w:rsid w:val="0018271A"/>
    <w:rsid w:val="00182801"/>
    <w:rsid w:val="00182941"/>
    <w:rsid w:val="00182D70"/>
    <w:rsid w:val="001830A1"/>
    <w:rsid w:val="0018337D"/>
    <w:rsid w:val="00183426"/>
    <w:rsid w:val="0018342F"/>
    <w:rsid w:val="001836F3"/>
    <w:rsid w:val="001838A0"/>
    <w:rsid w:val="00183915"/>
    <w:rsid w:val="00184467"/>
    <w:rsid w:val="00184DD2"/>
    <w:rsid w:val="0018514D"/>
    <w:rsid w:val="0018552E"/>
    <w:rsid w:val="0018553B"/>
    <w:rsid w:val="00185A20"/>
    <w:rsid w:val="00185A6B"/>
    <w:rsid w:val="00185D9E"/>
    <w:rsid w:val="00185F72"/>
    <w:rsid w:val="001869C2"/>
    <w:rsid w:val="00186C16"/>
    <w:rsid w:val="00187271"/>
    <w:rsid w:val="001872E4"/>
    <w:rsid w:val="00187D5F"/>
    <w:rsid w:val="0019069A"/>
    <w:rsid w:val="00190A70"/>
    <w:rsid w:val="00190E59"/>
    <w:rsid w:val="001912EC"/>
    <w:rsid w:val="00191EE9"/>
    <w:rsid w:val="00192FA0"/>
    <w:rsid w:val="00193C1D"/>
    <w:rsid w:val="0019407E"/>
    <w:rsid w:val="00194BC2"/>
    <w:rsid w:val="00194CDB"/>
    <w:rsid w:val="00194EDF"/>
    <w:rsid w:val="001951E8"/>
    <w:rsid w:val="00195242"/>
    <w:rsid w:val="001957D4"/>
    <w:rsid w:val="00195B85"/>
    <w:rsid w:val="00195CC4"/>
    <w:rsid w:val="00196142"/>
    <w:rsid w:val="00196D32"/>
    <w:rsid w:val="00197DB1"/>
    <w:rsid w:val="001A0786"/>
    <w:rsid w:val="001A08B8"/>
    <w:rsid w:val="001A21BF"/>
    <w:rsid w:val="001A256F"/>
    <w:rsid w:val="001A286C"/>
    <w:rsid w:val="001A28F0"/>
    <w:rsid w:val="001A3EBC"/>
    <w:rsid w:val="001A3EC5"/>
    <w:rsid w:val="001A44B0"/>
    <w:rsid w:val="001A4CFE"/>
    <w:rsid w:val="001A53F4"/>
    <w:rsid w:val="001A546C"/>
    <w:rsid w:val="001A58C3"/>
    <w:rsid w:val="001A62E4"/>
    <w:rsid w:val="001A68F6"/>
    <w:rsid w:val="001A697F"/>
    <w:rsid w:val="001A698C"/>
    <w:rsid w:val="001A6C3F"/>
    <w:rsid w:val="001A6F63"/>
    <w:rsid w:val="001A7037"/>
    <w:rsid w:val="001A7509"/>
    <w:rsid w:val="001A7790"/>
    <w:rsid w:val="001A7F6E"/>
    <w:rsid w:val="001B0C21"/>
    <w:rsid w:val="001B0E12"/>
    <w:rsid w:val="001B1F57"/>
    <w:rsid w:val="001B20D1"/>
    <w:rsid w:val="001B20FE"/>
    <w:rsid w:val="001B2411"/>
    <w:rsid w:val="001B282C"/>
    <w:rsid w:val="001B2BD6"/>
    <w:rsid w:val="001B2E28"/>
    <w:rsid w:val="001B33AD"/>
    <w:rsid w:val="001B3D74"/>
    <w:rsid w:val="001B3DD7"/>
    <w:rsid w:val="001B3DF8"/>
    <w:rsid w:val="001B3EE9"/>
    <w:rsid w:val="001B44C6"/>
    <w:rsid w:val="001B4513"/>
    <w:rsid w:val="001B51C7"/>
    <w:rsid w:val="001B5287"/>
    <w:rsid w:val="001B55AE"/>
    <w:rsid w:val="001B5708"/>
    <w:rsid w:val="001B5CF0"/>
    <w:rsid w:val="001B6179"/>
    <w:rsid w:val="001B650D"/>
    <w:rsid w:val="001B7105"/>
    <w:rsid w:val="001B72D6"/>
    <w:rsid w:val="001B79AE"/>
    <w:rsid w:val="001C05D5"/>
    <w:rsid w:val="001C0AC7"/>
    <w:rsid w:val="001C0D26"/>
    <w:rsid w:val="001C1F4D"/>
    <w:rsid w:val="001C22A3"/>
    <w:rsid w:val="001C29BD"/>
    <w:rsid w:val="001C3016"/>
    <w:rsid w:val="001C302C"/>
    <w:rsid w:val="001C307B"/>
    <w:rsid w:val="001C3BAF"/>
    <w:rsid w:val="001C3CDA"/>
    <w:rsid w:val="001C3F7A"/>
    <w:rsid w:val="001C4395"/>
    <w:rsid w:val="001C4594"/>
    <w:rsid w:val="001C5B3C"/>
    <w:rsid w:val="001C60D8"/>
    <w:rsid w:val="001C62D2"/>
    <w:rsid w:val="001C6CDD"/>
    <w:rsid w:val="001C6E70"/>
    <w:rsid w:val="001C7242"/>
    <w:rsid w:val="001C7A1A"/>
    <w:rsid w:val="001D0322"/>
    <w:rsid w:val="001D0826"/>
    <w:rsid w:val="001D0928"/>
    <w:rsid w:val="001D0A95"/>
    <w:rsid w:val="001D0BA2"/>
    <w:rsid w:val="001D0E99"/>
    <w:rsid w:val="001D1A37"/>
    <w:rsid w:val="001D22B3"/>
    <w:rsid w:val="001D3B5A"/>
    <w:rsid w:val="001D55E5"/>
    <w:rsid w:val="001D5A2B"/>
    <w:rsid w:val="001D5CA1"/>
    <w:rsid w:val="001D5D7B"/>
    <w:rsid w:val="001D66A8"/>
    <w:rsid w:val="001D66E2"/>
    <w:rsid w:val="001D6D51"/>
    <w:rsid w:val="001D7FEA"/>
    <w:rsid w:val="001E045D"/>
    <w:rsid w:val="001E06AA"/>
    <w:rsid w:val="001E1317"/>
    <w:rsid w:val="001E1BEA"/>
    <w:rsid w:val="001E1C25"/>
    <w:rsid w:val="001E24DB"/>
    <w:rsid w:val="001E265B"/>
    <w:rsid w:val="001E30D3"/>
    <w:rsid w:val="001E37C7"/>
    <w:rsid w:val="001E5994"/>
    <w:rsid w:val="001E5BA1"/>
    <w:rsid w:val="001E5D16"/>
    <w:rsid w:val="001E5E69"/>
    <w:rsid w:val="001E6004"/>
    <w:rsid w:val="001E62AD"/>
    <w:rsid w:val="001E6BC7"/>
    <w:rsid w:val="001E75FD"/>
    <w:rsid w:val="001E775C"/>
    <w:rsid w:val="001F0221"/>
    <w:rsid w:val="001F0282"/>
    <w:rsid w:val="001F045A"/>
    <w:rsid w:val="001F05AE"/>
    <w:rsid w:val="001F0602"/>
    <w:rsid w:val="001F0638"/>
    <w:rsid w:val="001F0B8D"/>
    <w:rsid w:val="001F12DC"/>
    <w:rsid w:val="001F1764"/>
    <w:rsid w:val="001F2A44"/>
    <w:rsid w:val="001F2FAA"/>
    <w:rsid w:val="001F3451"/>
    <w:rsid w:val="001F3751"/>
    <w:rsid w:val="001F58FD"/>
    <w:rsid w:val="001F6472"/>
    <w:rsid w:val="001F6933"/>
    <w:rsid w:val="001F7530"/>
    <w:rsid w:val="001F7763"/>
    <w:rsid w:val="001F7CE8"/>
    <w:rsid w:val="00200281"/>
    <w:rsid w:val="00200A5A"/>
    <w:rsid w:val="00200FB3"/>
    <w:rsid w:val="00201878"/>
    <w:rsid w:val="002022A6"/>
    <w:rsid w:val="002027D6"/>
    <w:rsid w:val="00202815"/>
    <w:rsid w:val="002037C8"/>
    <w:rsid w:val="002039C2"/>
    <w:rsid w:val="00203B6D"/>
    <w:rsid w:val="00203BEA"/>
    <w:rsid w:val="00204BCC"/>
    <w:rsid w:val="00205777"/>
    <w:rsid w:val="00205854"/>
    <w:rsid w:val="00205C1A"/>
    <w:rsid w:val="0020612B"/>
    <w:rsid w:val="00206483"/>
    <w:rsid w:val="00206638"/>
    <w:rsid w:val="00206E6A"/>
    <w:rsid w:val="00207E2E"/>
    <w:rsid w:val="00210296"/>
    <w:rsid w:val="00210807"/>
    <w:rsid w:val="00210EDB"/>
    <w:rsid w:val="00211190"/>
    <w:rsid w:val="00211656"/>
    <w:rsid w:val="002118AD"/>
    <w:rsid w:val="00212114"/>
    <w:rsid w:val="0021293D"/>
    <w:rsid w:val="00212FEB"/>
    <w:rsid w:val="002131F0"/>
    <w:rsid w:val="0021370A"/>
    <w:rsid w:val="002137DD"/>
    <w:rsid w:val="00214073"/>
    <w:rsid w:val="00214487"/>
    <w:rsid w:val="002144A0"/>
    <w:rsid w:val="00215105"/>
    <w:rsid w:val="00215804"/>
    <w:rsid w:val="0021590B"/>
    <w:rsid w:val="00215F6D"/>
    <w:rsid w:val="00215F95"/>
    <w:rsid w:val="002161F5"/>
    <w:rsid w:val="00216278"/>
    <w:rsid w:val="00216383"/>
    <w:rsid w:val="002164F2"/>
    <w:rsid w:val="0021704F"/>
    <w:rsid w:val="002171CA"/>
    <w:rsid w:val="002177BB"/>
    <w:rsid w:val="00220341"/>
    <w:rsid w:val="002204D8"/>
    <w:rsid w:val="00221B14"/>
    <w:rsid w:val="00221BE8"/>
    <w:rsid w:val="00221F64"/>
    <w:rsid w:val="002220A5"/>
    <w:rsid w:val="00222B5D"/>
    <w:rsid w:val="0022327A"/>
    <w:rsid w:val="00223590"/>
    <w:rsid w:val="00223739"/>
    <w:rsid w:val="0022526F"/>
    <w:rsid w:val="00225E61"/>
    <w:rsid w:val="00225FC1"/>
    <w:rsid w:val="00226C08"/>
    <w:rsid w:val="002300ED"/>
    <w:rsid w:val="002309B5"/>
    <w:rsid w:val="002310A4"/>
    <w:rsid w:val="002317EB"/>
    <w:rsid w:val="00232658"/>
    <w:rsid w:val="002326D6"/>
    <w:rsid w:val="0023279B"/>
    <w:rsid w:val="00232D00"/>
    <w:rsid w:val="00233737"/>
    <w:rsid w:val="00234E7A"/>
    <w:rsid w:val="00234F1F"/>
    <w:rsid w:val="00235596"/>
    <w:rsid w:val="002356AE"/>
    <w:rsid w:val="0023586E"/>
    <w:rsid w:val="00235C33"/>
    <w:rsid w:val="00235FEF"/>
    <w:rsid w:val="002361C8"/>
    <w:rsid w:val="002362D6"/>
    <w:rsid w:val="002371FE"/>
    <w:rsid w:val="00237A5D"/>
    <w:rsid w:val="00237B52"/>
    <w:rsid w:val="00237D6C"/>
    <w:rsid w:val="00240190"/>
    <w:rsid w:val="00240481"/>
    <w:rsid w:val="0024080B"/>
    <w:rsid w:val="002408F3"/>
    <w:rsid w:val="0024110F"/>
    <w:rsid w:val="002416BA"/>
    <w:rsid w:val="00241D5B"/>
    <w:rsid w:val="00242424"/>
    <w:rsid w:val="00242489"/>
    <w:rsid w:val="0024259C"/>
    <w:rsid w:val="00242766"/>
    <w:rsid w:val="00243371"/>
    <w:rsid w:val="002433B8"/>
    <w:rsid w:val="00243B14"/>
    <w:rsid w:val="00243D66"/>
    <w:rsid w:val="00243DF4"/>
    <w:rsid w:val="00244C55"/>
    <w:rsid w:val="0024554A"/>
    <w:rsid w:val="00245805"/>
    <w:rsid w:val="00245D64"/>
    <w:rsid w:val="00246184"/>
    <w:rsid w:val="00246334"/>
    <w:rsid w:val="00246BEA"/>
    <w:rsid w:val="00247939"/>
    <w:rsid w:val="00247A0D"/>
    <w:rsid w:val="00247A9F"/>
    <w:rsid w:val="0025085A"/>
    <w:rsid w:val="00250888"/>
    <w:rsid w:val="00250F47"/>
    <w:rsid w:val="0025123B"/>
    <w:rsid w:val="00251258"/>
    <w:rsid w:val="002515B1"/>
    <w:rsid w:val="00251ADE"/>
    <w:rsid w:val="00252B44"/>
    <w:rsid w:val="00252D7A"/>
    <w:rsid w:val="002534C3"/>
    <w:rsid w:val="00253B53"/>
    <w:rsid w:val="00253E79"/>
    <w:rsid w:val="00254C71"/>
    <w:rsid w:val="00255884"/>
    <w:rsid w:val="00255949"/>
    <w:rsid w:val="00255C35"/>
    <w:rsid w:val="00256985"/>
    <w:rsid w:val="00256C71"/>
    <w:rsid w:val="00256CB4"/>
    <w:rsid w:val="00257191"/>
    <w:rsid w:val="00257340"/>
    <w:rsid w:val="00257636"/>
    <w:rsid w:val="00257DB0"/>
    <w:rsid w:val="00260520"/>
    <w:rsid w:val="002606AF"/>
    <w:rsid w:val="00260787"/>
    <w:rsid w:val="00260CFA"/>
    <w:rsid w:val="00261784"/>
    <w:rsid w:val="0026192E"/>
    <w:rsid w:val="00261CD9"/>
    <w:rsid w:val="00261E45"/>
    <w:rsid w:val="0026256B"/>
    <w:rsid w:val="00262BBC"/>
    <w:rsid w:val="002631C5"/>
    <w:rsid w:val="002635C4"/>
    <w:rsid w:val="00263A83"/>
    <w:rsid w:val="00263C65"/>
    <w:rsid w:val="00264BB4"/>
    <w:rsid w:val="00264D03"/>
    <w:rsid w:val="002650BF"/>
    <w:rsid w:val="002656A5"/>
    <w:rsid w:val="002656E4"/>
    <w:rsid w:val="00265F02"/>
    <w:rsid w:val="002660C5"/>
    <w:rsid w:val="00266399"/>
    <w:rsid w:val="00266883"/>
    <w:rsid w:val="00266D22"/>
    <w:rsid w:val="00266E33"/>
    <w:rsid w:val="00267188"/>
    <w:rsid w:val="00267520"/>
    <w:rsid w:val="00270100"/>
    <w:rsid w:val="0027163F"/>
    <w:rsid w:val="002722BC"/>
    <w:rsid w:val="002724C9"/>
    <w:rsid w:val="002727A4"/>
    <w:rsid w:val="00272978"/>
    <w:rsid w:val="0027361D"/>
    <w:rsid w:val="002739F5"/>
    <w:rsid w:val="00274072"/>
    <w:rsid w:val="002745D1"/>
    <w:rsid w:val="00274A9D"/>
    <w:rsid w:val="00275169"/>
    <w:rsid w:val="002752EA"/>
    <w:rsid w:val="00275B06"/>
    <w:rsid w:val="00276337"/>
    <w:rsid w:val="002763AD"/>
    <w:rsid w:val="0027671E"/>
    <w:rsid w:val="002769F6"/>
    <w:rsid w:val="0027721C"/>
    <w:rsid w:val="002773E5"/>
    <w:rsid w:val="00277DB5"/>
    <w:rsid w:val="00277DE1"/>
    <w:rsid w:val="0028061A"/>
    <w:rsid w:val="00280698"/>
    <w:rsid w:val="002806F7"/>
    <w:rsid w:val="00281B59"/>
    <w:rsid w:val="00282115"/>
    <w:rsid w:val="00282912"/>
    <w:rsid w:val="00282BE0"/>
    <w:rsid w:val="002830BA"/>
    <w:rsid w:val="0028367C"/>
    <w:rsid w:val="00283DB8"/>
    <w:rsid w:val="002843D8"/>
    <w:rsid w:val="00284D4E"/>
    <w:rsid w:val="002850C1"/>
    <w:rsid w:val="0028531C"/>
    <w:rsid w:val="00285961"/>
    <w:rsid w:val="00286006"/>
    <w:rsid w:val="002866DC"/>
    <w:rsid w:val="00286EFC"/>
    <w:rsid w:val="002874B6"/>
    <w:rsid w:val="002877D1"/>
    <w:rsid w:val="00287882"/>
    <w:rsid w:val="00287906"/>
    <w:rsid w:val="00287912"/>
    <w:rsid w:val="00290296"/>
    <w:rsid w:val="00290940"/>
    <w:rsid w:val="00290AD9"/>
    <w:rsid w:val="00290B1A"/>
    <w:rsid w:val="00290C90"/>
    <w:rsid w:val="00291B02"/>
    <w:rsid w:val="00291C58"/>
    <w:rsid w:val="00291F4B"/>
    <w:rsid w:val="002923F2"/>
    <w:rsid w:val="00292822"/>
    <w:rsid w:val="00293609"/>
    <w:rsid w:val="00293BDB"/>
    <w:rsid w:val="00294A23"/>
    <w:rsid w:val="00295025"/>
    <w:rsid w:val="002954C5"/>
    <w:rsid w:val="002955A4"/>
    <w:rsid w:val="002955BC"/>
    <w:rsid w:val="002956C6"/>
    <w:rsid w:val="0029589E"/>
    <w:rsid w:val="00295FFA"/>
    <w:rsid w:val="00296004"/>
    <w:rsid w:val="00296470"/>
    <w:rsid w:val="0029656F"/>
    <w:rsid w:val="00296E12"/>
    <w:rsid w:val="00296F00"/>
    <w:rsid w:val="00296F66"/>
    <w:rsid w:val="00297060"/>
    <w:rsid w:val="002978C8"/>
    <w:rsid w:val="00297A74"/>
    <w:rsid w:val="00297C24"/>
    <w:rsid w:val="002A019F"/>
    <w:rsid w:val="002A09ED"/>
    <w:rsid w:val="002A165E"/>
    <w:rsid w:val="002A17D1"/>
    <w:rsid w:val="002A2216"/>
    <w:rsid w:val="002A2D9E"/>
    <w:rsid w:val="002A2FC6"/>
    <w:rsid w:val="002A3250"/>
    <w:rsid w:val="002A33D0"/>
    <w:rsid w:val="002A340B"/>
    <w:rsid w:val="002A3B8F"/>
    <w:rsid w:val="002A3DF7"/>
    <w:rsid w:val="002A416F"/>
    <w:rsid w:val="002A421A"/>
    <w:rsid w:val="002A4637"/>
    <w:rsid w:val="002A4E3D"/>
    <w:rsid w:val="002A4ED5"/>
    <w:rsid w:val="002A546E"/>
    <w:rsid w:val="002A54C1"/>
    <w:rsid w:val="002A568A"/>
    <w:rsid w:val="002A5FC7"/>
    <w:rsid w:val="002A730B"/>
    <w:rsid w:val="002A743A"/>
    <w:rsid w:val="002A74C4"/>
    <w:rsid w:val="002A7844"/>
    <w:rsid w:val="002A7D2D"/>
    <w:rsid w:val="002A7E1B"/>
    <w:rsid w:val="002B0019"/>
    <w:rsid w:val="002B034B"/>
    <w:rsid w:val="002B0D63"/>
    <w:rsid w:val="002B119E"/>
    <w:rsid w:val="002B1267"/>
    <w:rsid w:val="002B14B0"/>
    <w:rsid w:val="002B1C6E"/>
    <w:rsid w:val="002B316A"/>
    <w:rsid w:val="002B3ED5"/>
    <w:rsid w:val="002B4941"/>
    <w:rsid w:val="002B4AD2"/>
    <w:rsid w:val="002B4E84"/>
    <w:rsid w:val="002B52F8"/>
    <w:rsid w:val="002B599E"/>
    <w:rsid w:val="002B5A27"/>
    <w:rsid w:val="002B5E25"/>
    <w:rsid w:val="002B6E68"/>
    <w:rsid w:val="002B71AF"/>
    <w:rsid w:val="002B7211"/>
    <w:rsid w:val="002B753F"/>
    <w:rsid w:val="002C020C"/>
    <w:rsid w:val="002C0AC5"/>
    <w:rsid w:val="002C1362"/>
    <w:rsid w:val="002C1F98"/>
    <w:rsid w:val="002C24FE"/>
    <w:rsid w:val="002C256F"/>
    <w:rsid w:val="002C291A"/>
    <w:rsid w:val="002C2F40"/>
    <w:rsid w:val="002C3D3F"/>
    <w:rsid w:val="002C4640"/>
    <w:rsid w:val="002C4A4D"/>
    <w:rsid w:val="002C52CA"/>
    <w:rsid w:val="002C564A"/>
    <w:rsid w:val="002C5847"/>
    <w:rsid w:val="002C5954"/>
    <w:rsid w:val="002C669B"/>
    <w:rsid w:val="002C6887"/>
    <w:rsid w:val="002C6D4F"/>
    <w:rsid w:val="002C7B9E"/>
    <w:rsid w:val="002D085C"/>
    <w:rsid w:val="002D0BBD"/>
    <w:rsid w:val="002D1079"/>
    <w:rsid w:val="002D11CA"/>
    <w:rsid w:val="002D146F"/>
    <w:rsid w:val="002D1BF4"/>
    <w:rsid w:val="002D1DE5"/>
    <w:rsid w:val="002D2462"/>
    <w:rsid w:val="002D328B"/>
    <w:rsid w:val="002D378D"/>
    <w:rsid w:val="002D3861"/>
    <w:rsid w:val="002D3C07"/>
    <w:rsid w:val="002D4573"/>
    <w:rsid w:val="002D46EE"/>
    <w:rsid w:val="002D575A"/>
    <w:rsid w:val="002D5EC8"/>
    <w:rsid w:val="002D6461"/>
    <w:rsid w:val="002D64B8"/>
    <w:rsid w:val="002D6668"/>
    <w:rsid w:val="002D6A7C"/>
    <w:rsid w:val="002D6D90"/>
    <w:rsid w:val="002D6F0F"/>
    <w:rsid w:val="002D74D9"/>
    <w:rsid w:val="002D757D"/>
    <w:rsid w:val="002D7A33"/>
    <w:rsid w:val="002D7A38"/>
    <w:rsid w:val="002D7CAE"/>
    <w:rsid w:val="002E0536"/>
    <w:rsid w:val="002E0537"/>
    <w:rsid w:val="002E07D0"/>
    <w:rsid w:val="002E0DE1"/>
    <w:rsid w:val="002E0FD9"/>
    <w:rsid w:val="002E1D92"/>
    <w:rsid w:val="002E20A8"/>
    <w:rsid w:val="002E2163"/>
    <w:rsid w:val="002E2A0C"/>
    <w:rsid w:val="002E39A7"/>
    <w:rsid w:val="002E3AB0"/>
    <w:rsid w:val="002E3AF5"/>
    <w:rsid w:val="002E3B24"/>
    <w:rsid w:val="002E3C48"/>
    <w:rsid w:val="002E3CEA"/>
    <w:rsid w:val="002E4FAD"/>
    <w:rsid w:val="002E588B"/>
    <w:rsid w:val="002E5A9A"/>
    <w:rsid w:val="002E6F7E"/>
    <w:rsid w:val="002E7028"/>
    <w:rsid w:val="002E729B"/>
    <w:rsid w:val="002E73A0"/>
    <w:rsid w:val="002F1214"/>
    <w:rsid w:val="002F1579"/>
    <w:rsid w:val="002F16E2"/>
    <w:rsid w:val="002F18D1"/>
    <w:rsid w:val="002F1ADA"/>
    <w:rsid w:val="002F2C49"/>
    <w:rsid w:val="002F3265"/>
    <w:rsid w:val="002F328C"/>
    <w:rsid w:val="002F4782"/>
    <w:rsid w:val="002F494F"/>
    <w:rsid w:val="002F4A18"/>
    <w:rsid w:val="002F5893"/>
    <w:rsid w:val="002F5AB0"/>
    <w:rsid w:val="002F5BAB"/>
    <w:rsid w:val="002F63A1"/>
    <w:rsid w:val="002F648E"/>
    <w:rsid w:val="002F66BC"/>
    <w:rsid w:val="002F676B"/>
    <w:rsid w:val="002F7506"/>
    <w:rsid w:val="002F763A"/>
    <w:rsid w:val="002F78A7"/>
    <w:rsid w:val="002F798D"/>
    <w:rsid w:val="002F7B00"/>
    <w:rsid w:val="002F7BA9"/>
    <w:rsid w:val="002F7FC5"/>
    <w:rsid w:val="003013E9"/>
    <w:rsid w:val="0030174A"/>
    <w:rsid w:val="00301945"/>
    <w:rsid w:val="00301A27"/>
    <w:rsid w:val="00301A91"/>
    <w:rsid w:val="00301B44"/>
    <w:rsid w:val="00301F65"/>
    <w:rsid w:val="0030222E"/>
    <w:rsid w:val="00302579"/>
    <w:rsid w:val="00302663"/>
    <w:rsid w:val="00302CA9"/>
    <w:rsid w:val="0030304B"/>
    <w:rsid w:val="0030318B"/>
    <w:rsid w:val="0030324B"/>
    <w:rsid w:val="003032AC"/>
    <w:rsid w:val="003036EF"/>
    <w:rsid w:val="003039FF"/>
    <w:rsid w:val="00303D5E"/>
    <w:rsid w:val="00303F96"/>
    <w:rsid w:val="0030432F"/>
    <w:rsid w:val="00304705"/>
    <w:rsid w:val="00304942"/>
    <w:rsid w:val="00305D28"/>
    <w:rsid w:val="003074C4"/>
    <w:rsid w:val="0031006E"/>
    <w:rsid w:val="003101DA"/>
    <w:rsid w:val="003103C3"/>
    <w:rsid w:val="0031049F"/>
    <w:rsid w:val="003117E1"/>
    <w:rsid w:val="003118D3"/>
    <w:rsid w:val="0031195F"/>
    <w:rsid w:val="00311F19"/>
    <w:rsid w:val="00312518"/>
    <w:rsid w:val="00312FC2"/>
    <w:rsid w:val="0031307A"/>
    <w:rsid w:val="003136C7"/>
    <w:rsid w:val="003138CB"/>
    <w:rsid w:val="00313A6D"/>
    <w:rsid w:val="00313CFF"/>
    <w:rsid w:val="00313DD7"/>
    <w:rsid w:val="00313EE5"/>
    <w:rsid w:val="00314B3C"/>
    <w:rsid w:val="003151F8"/>
    <w:rsid w:val="003152E4"/>
    <w:rsid w:val="003153AD"/>
    <w:rsid w:val="00315593"/>
    <w:rsid w:val="003155A5"/>
    <w:rsid w:val="00315B26"/>
    <w:rsid w:val="0031611C"/>
    <w:rsid w:val="00316684"/>
    <w:rsid w:val="00316913"/>
    <w:rsid w:val="00316E8D"/>
    <w:rsid w:val="00316F3B"/>
    <w:rsid w:val="00317317"/>
    <w:rsid w:val="0031737E"/>
    <w:rsid w:val="00317797"/>
    <w:rsid w:val="0032053F"/>
    <w:rsid w:val="00320F7F"/>
    <w:rsid w:val="0032112C"/>
    <w:rsid w:val="00321345"/>
    <w:rsid w:val="0032180D"/>
    <w:rsid w:val="003218BC"/>
    <w:rsid w:val="00321DD6"/>
    <w:rsid w:val="003220CC"/>
    <w:rsid w:val="00322194"/>
    <w:rsid w:val="003222B8"/>
    <w:rsid w:val="0032236E"/>
    <w:rsid w:val="00322478"/>
    <w:rsid w:val="00322667"/>
    <w:rsid w:val="00323603"/>
    <w:rsid w:val="0032456E"/>
    <w:rsid w:val="00324756"/>
    <w:rsid w:val="003248C1"/>
    <w:rsid w:val="00325F4B"/>
    <w:rsid w:val="0032622D"/>
    <w:rsid w:val="003263A6"/>
    <w:rsid w:val="003265F8"/>
    <w:rsid w:val="0032673D"/>
    <w:rsid w:val="0032769E"/>
    <w:rsid w:val="003279A5"/>
    <w:rsid w:val="003303CB"/>
    <w:rsid w:val="0033056B"/>
    <w:rsid w:val="00330C95"/>
    <w:rsid w:val="00331477"/>
    <w:rsid w:val="00333AB0"/>
    <w:rsid w:val="00333DF1"/>
    <w:rsid w:val="003343B9"/>
    <w:rsid w:val="0033514B"/>
    <w:rsid w:val="00335DD4"/>
    <w:rsid w:val="00336323"/>
    <w:rsid w:val="00336767"/>
    <w:rsid w:val="00337438"/>
    <w:rsid w:val="00337C5C"/>
    <w:rsid w:val="00340624"/>
    <w:rsid w:val="00340C5A"/>
    <w:rsid w:val="00340DCC"/>
    <w:rsid w:val="0034110F"/>
    <w:rsid w:val="003415E3"/>
    <w:rsid w:val="00341C33"/>
    <w:rsid w:val="0034277A"/>
    <w:rsid w:val="00342EC7"/>
    <w:rsid w:val="00342F44"/>
    <w:rsid w:val="003432AE"/>
    <w:rsid w:val="00343D36"/>
    <w:rsid w:val="00343F19"/>
    <w:rsid w:val="00343FEE"/>
    <w:rsid w:val="003440A9"/>
    <w:rsid w:val="003440F7"/>
    <w:rsid w:val="00344378"/>
    <w:rsid w:val="003448E4"/>
    <w:rsid w:val="00344C4A"/>
    <w:rsid w:val="00344CC2"/>
    <w:rsid w:val="003459E6"/>
    <w:rsid w:val="00345AF2"/>
    <w:rsid w:val="00346535"/>
    <w:rsid w:val="003469D2"/>
    <w:rsid w:val="00346E26"/>
    <w:rsid w:val="00347B7D"/>
    <w:rsid w:val="00347C33"/>
    <w:rsid w:val="00347D92"/>
    <w:rsid w:val="00350FF4"/>
    <w:rsid w:val="0035193A"/>
    <w:rsid w:val="003520C3"/>
    <w:rsid w:val="00352D8A"/>
    <w:rsid w:val="0035302F"/>
    <w:rsid w:val="00353686"/>
    <w:rsid w:val="003536EF"/>
    <w:rsid w:val="00353FC4"/>
    <w:rsid w:val="00354502"/>
    <w:rsid w:val="003548A6"/>
    <w:rsid w:val="00354AC7"/>
    <w:rsid w:val="00355771"/>
    <w:rsid w:val="00355B52"/>
    <w:rsid w:val="00355D57"/>
    <w:rsid w:val="00356309"/>
    <w:rsid w:val="003569AB"/>
    <w:rsid w:val="00356C2C"/>
    <w:rsid w:val="003572D4"/>
    <w:rsid w:val="00357349"/>
    <w:rsid w:val="0035749E"/>
    <w:rsid w:val="0035770F"/>
    <w:rsid w:val="00357909"/>
    <w:rsid w:val="00357B36"/>
    <w:rsid w:val="00357CD7"/>
    <w:rsid w:val="00360010"/>
    <w:rsid w:val="00360721"/>
    <w:rsid w:val="00360E17"/>
    <w:rsid w:val="0036161A"/>
    <w:rsid w:val="003619A6"/>
    <w:rsid w:val="00362220"/>
    <w:rsid w:val="0036244A"/>
    <w:rsid w:val="003631C2"/>
    <w:rsid w:val="00363266"/>
    <w:rsid w:val="00363BAF"/>
    <w:rsid w:val="00363F8A"/>
    <w:rsid w:val="00364B1C"/>
    <w:rsid w:val="00364C5C"/>
    <w:rsid w:val="00364C83"/>
    <w:rsid w:val="00365724"/>
    <w:rsid w:val="00365D6B"/>
    <w:rsid w:val="00365DE4"/>
    <w:rsid w:val="00366394"/>
    <w:rsid w:val="00366497"/>
    <w:rsid w:val="003669F9"/>
    <w:rsid w:val="00366ABB"/>
    <w:rsid w:val="00366AFF"/>
    <w:rsid w:val="00366C96"/>
    <w:rsid w:val="0036768F"/>
    <w:rsid w:val="00367F6D"/>
    <w:rsid w:val="00370126"/>
    <w:rsid w:val="0037175F"/>
    <w:rsid w:val="00372128"/>
    <w:rsid w:val="003722E5"/>
    <w:rsid w:val="003724F9"/>
    <w:rsid w:val="0037276B"/>
    <w:rsid w:val="00372A19"/>
    <w:rsid w:val="00372E76"/>
    <w:rsid w:val="003734EC"/>
    <w:rsid w:val="003735BA"/>
    <w:rsid w:val="00373688"/>
    <w:rsid w:val="003748CE"/>
    <w:rsid w:val="0037530C"/>
    <w:rsid w:val="003753B6"/>
    <w:rsid w:val="00375489"/>
    <w:rsid w:val="0037555C"/>
    <w:rsid w:val="0037585A"/>
    <w:rsid w:val="003758ED"/>
    <w:rsid w:val="00375D2D"/>
    <w:rsid w:val="003761DA"/>
    <w:rsid w:val="00376333"/>
    <w:rsid w:val="00376515"/>
    <w:rsid w:val="0037684D"/>
    <w:rsid w:val="00376892"/>
    <w:rsid w:val="00376A53"/>
    <w:rsid w:val="00376E09"/>
    <w:rsid w:val="00377238"/>
    <w:rsid w:val="00377EA6"/>
    <w:rsid w:val="0038030C"/>
    <w:rsid w:val="0038192D"/>
    <w:rsid w:val="00381F5A"/>
    <w:rsid w:val="00382B6D"/>
    <w:rsid w:val="00383053"/>
    <w:rsid w:val="003830CA"/>
    <w:rsid w:val="003834AC"/>
    <w:rsid w:val="0038396A"/>
    <w:rsid w:val="00383DE4"/>
    <w:rsid w:val="00384B07"/>
    <w:rsid w:val="00385596"/>
    <w:rsid w:val="003859F5"/>
    <w:rsid w:val="00385EC8"/>
    <w:rsid w:val="003862B2"/>
    <w:rsid w:val="003864CA"/>
    <w:rsid w:val="00386788"/>
    <w:rsid w:val="00386A30"/>
    <w:rsid w:val="00386B1E"/>
    <w:rsid w:val="00386E8D"/>
    <w:rsid w:val="0038795E"/>
    <w:rsid w:val="00387F52"/>
    <w:rsid w:val="003900B5"/>
    <w:rsid w:val="003900D5"/>
    <w:rsid w:val="00390372"/>
    <w:rsid w:val="003903DC"/>
    <w:rsid w:val="003906F5"/>
    <w:rsid w:val="003909C1"/>
    <w:rsid w:val="00390A4C"/>
    <w:rsid w:val="00390D1D"/>
    <w:rsid w:val="00390E59"/>
    <w:rsid w:val="003928B9"/>
    <w:rsid w:val="00392EA8"/>
    <w:rsid w:val="003937FF"/>
    <w:rsid w:val="00393859"/>
    <w:rsid w:val="00394925"/>
    <w:rsid w:val="00394B43"/>
    <w:rsid w:val="00394CC1"/>
    <w:rsid w:val="00394EC9"/>
    <w:rsid w:val="00395473"/>
    <w:rsid w:val="003956ED"/>
    <w:rsid w:val="00395A92"/>
    <w:rsid w:val="003962EE"/>
    <w:rsid w:val="003965F9"/>
    <w:rsid w:val="00396E6D"/>
    <w:rsid w:val="00396EE5"/>
    <w:rsid w:val="003972D0"/>
    <w:rsid w:val="003A0578"/>
    <w:rsid w:val="003A096B"/>
    <w:rsid w:val="003A1222"/>
    <w:rsid w:val="003A1736"/>
    <w:rsid w:val="003A1822"/>
    <w:rsid w:val="003A1B91"/>
    <w:rsid w:val="003A205D"/>
    <w:rsid w:val="003A2790"/>
    <w:rsid w:val="003A39F4"/>
    <w:rsid w:val="003A3F8D"/>
    <w:rsid w:val="003A4162"/>
    <w:rsid w:val="003A48E7"/>
    <w:rsid w:val="003A4A50"/>
    <w:rsid w:val="003A5058"/>
    <w:rsid w:val="003A56FA"/>
    <w:rsid w:val="003A616B"/>
    <w:rsid w:val="003A6262"/>
    <w:rsid w:val="003A6967"/>
    <w:rsid w:val="003A6EDA"/>
    <w:rsid w:val="003A72F2"/>
    <w:rsid w:val="003B083A"/>
    <w:rsid w:val="003B0CEC"/>
    <w:rsid w:val="003B114F"/>
    <w:rsid w:val="003B123A"/>
    <w:rsid w:val="003B1CA2"/>
    <w:rsid w:val="003B219E"/>
    <w:rsid w:val="003B28A1"/>
    <w:rsid w:val="003B2B5C"/>
    <w:rsid w:val="003B3120"/>
    <w:rsid w:val="003B3A1E"/>
    <w:rsid w:val="003B3A7B"/>
    <w:rsid w:val="003B3DCB"/>
    <w:rsid w:val="003B45EC"/>
    <w:rsid w:val="003B4807"/>
    <w:rsid w:val="003B4D1B"/>
    <w:rsid w:val="003B4EBE"/>
    <w:rsid w:val="003B5738"/>
    <w:rsid w:val="003B5CC6"/>
    <w:rsid w:val="003B5D22"/>
    <w:rsid w:val="003B6386"/>
    <w:rsid w:val="003B6AD6"/>
    <w:rsid w:val="003B6EDC"/>
    <w:rsid w:val="003B6F88"/>
    <w:rsid w:val="003B76CB"/>
    <w:rsid w:val="003B76F4"/>
    <w:rsid w:val="003C0BB4"/>
    <w:rsid w:val="003C0CE3"/>
    <w:rsid w:val="003C0E9A"/>
    <w:rsid w:val="003C199E"/>
    <w:rsid w:val="003C1EC5"/>
    <w:rsid w:val="003C34EE"/>
    <w:rsid w:val="003C37A2"/>
    <w:rsid w:val="003C38F9"/>
    <w:rsid w:val="003C3A60"/>
    <w:rsid w:val="003C4080"/>
    <w:rsid w:val="003C46E7"/>
    <w:rsid w:val="003C4882"/>
    <w:rsid w:val="003C48B0"/>
    <w:rsid w:val="003C4979"/>
    <w:rsid w:val="003C4B7B"/>
    <w:rsid w:val="003C4D6A"/>
    <w:rsid w:val="003C4E83"/>
    <w:rsid w:val="003C4F2E"/>
    <w:rsid w:val="003C5A44"/>
    <w:rsid w:val="003C5C2B"/>
    <w:rsid w:val="003C60FD"/>
    <w:rsid w:val="003C65D0"/>
    <w:rsid w:val="003C68C2"/>
    <w:rsid w:val="003C69FA"/>
    <w:rsid w:val="003C779E"/>
    <w:rsid w:val="003C79FB"/>
    <w:rsid w:val="003D0082"/>
    <w:rsid w:val="003D0482"/>
    <w:rsid w:val="003D0703"/>
    <w:rsid w:val="003D082E"/>
    <w:rsid w:val="003D08A8"/>
    <w:rsid w:val="003D0916"/>
    <w:rsid w:val="003D0CDD"/>
    <w:rsid w:val="003D150C"/>
    <w:rsid w:val="003D1AC0"/>
    <w:rsid w:val="003D1E94"/>
    <w:rsid w:val="003D278A"/>
    <w:rsid w:val="003D2A5D"/>
    <w:rsid w:val="003D2F3F"/>
    <w:rsid w:val="003D4159"/>
    <w:rsid w:val="003D4A99"/>
    <w:rsid w:val="003D4BFB"/>
    <w:rsid w:val="003D4C25"/>
    <w:rsid w:val="003D4CCD"/>
    <w:rsid w:val="003D562F"/>
    <w:rsid w:val="003D57D0"/>
    <w:rsid w:val="003D5AD9"/>
    <w:rsid w:val="003D5C9E"/>
    <w:rsid w:val="003D632A"/>
    <w:rsid w:val="003D648B"/>
    <w:rsid w:val="003D6EF1"/>
    <w:rsid w:val="003D6FFF"/>
    <w:rsid w:val="003D73A1"/>
    <w:rsid w:val="003E005F"/>
    <w:rsid w:val="003E07AE"/>
    <w:rsid w:val="003E180D"/>
    <w:rsid w:val="003E2074"/>
    <w:rsid w:val="003E2223"/>
    <w:rsid w:val="003E27AE"/>
    <w:rsid w:val="003E2B03"/>
    <w:rsid w:val="003E2F92"/>
    <w:rsid w:val="003E420C"/>
    <w:rsid w:val="003E4EBB"/>
    <w:rsid w:val="003E51CB"/>
    <w:rsid w:val="003E5317"/>
    <w:rsid w:val="003E5367"/>
    <w:rsid w:val="003E56B2"/>
    <w:rsid w:val="003E58AD"/>
    <w:rsid w:val="003E5996"/>
    <w:rsid w:val="003E60CC"/>
    <w:rsid w:val="003E617E"/>
    <w:rsid w:val="003E6856"/>
    <w:rsid w:val="003E6FF0"/>
    <w:rsid w:val="003F014B"/>
    <w:rsid w:val="003F014C"/>
    <w:rsid w:val="003F0A44"/>
    <w:rsid w:val="003F10B0"/>
    <w:rsid w:val="003F11C1"/>
    <w:rsid w:val="003F14B2"/>
    <w:rsid w:val="003F18A0"/>
    <w:rsid w:val="003F1983"/>
    <w:rsid w:val="003F1F3A"/>
    <w:rsid w:val="003F2895"/>
    <w:rsid w:val="003F39C8"/>
    <w:rsid w:val="003F3A3A"/>
    <w:rsid w:val="003F4221"/>
    <w:rsid w:val="003F4262"/>
    <w:rsid w:val="003F505A"/>
    <w:rsid w:val="003F5768"/>
    <w:rsid w:val="003F61F9"/>
    <w:rsid w:val="003F63B1"/>
    <w:rsid w:val="003F660C"/>
    <w:rsid w:val="003F6DA6"/>
    <w:rsid w:val="003F7BEE"/>
    <w:rsid w:val="003F7D74"/>
    <w:rsid w:val="004000E8"/>
    <w:rsid w:val="00400B3B"/>
    <w:rsid w:val="00401426"/>
    <w:rsid w:val="00401BC9"/>
    <w:rsid w:val="00402135"/>
    <w:rsid w:val="00402395"/>
    <w:rsid w:val="0040297C"/>
    <w:rsid w:val="004034C0"/>
    <w:rsid w:val="00403FAD"/>
    <w:rsid w:val="00405082"/>
    <w:rsid w:val="00405F68"/>
    <w:rsid w:val="00406021"/>
    <w:rsid w:val="00406A66"/>
    <w:rsid w:val="00407C49"/>
    <w:rsid w:val="00407FB9"/>
    <w:rsid w:val="0041071F"/>
    <w:rsid w:val="004108D1"/>
    <w:rsid w:val="004110C3"/>
    <w:rsid w:val="00411131"/>
    <w:rsid w:val="00411E35"/>
    <w:rsid w:val="00412688"/>
    <w:rsid w:val="00412BAC"/>
    <w:rsid w:val="0041379B"/>
    <w:rsid w:val="0041394B"/>
    <w:rsid w:val="00413AA0"/>
    <w:rsid w:val="00413F92"/>
    <w:rsid w:val="004143A3"/>
    <w:rsid w:val="00414426"/>
    <w:rsid w:val="00414F61"/>
    <w:rsid w:val="00415046"/>
    <w:rsid w:val="004155CE"/>
    <w:rsid w:val="00416259"/>
    <w:rsid w:val="00416AC6"/>
    <w:rsid w:val="00416E6A"/>
    <w:rsid w:val="0041721E"/>
    <w:rsid w:val="004173FC"/>
    <w:rsid w:val="00417743"/>
    <w:rsid w:val="00417C11"/>
    <w:rsid w:val="00417FD0"/>
    <w:rsid w:val="00417FFB"/>
    <w:rsid w:val="00420002"/>
    <w:rsid w:val="0042092D"/>
    <w:rsid w:val="00420BF6"/>
    <w:rsid w:val="00420D35"/>
    <w:rsid w:val="00420DDB"/>
    <w:rsid w:val="00420EA6"/>
    <w:rsid w:val="00420FEB"/>
    <w:rsid w:val="00420FF8"/>
    <w:rsid w:val="0042106F"/>
    <w:rsid w:val="0042138C"/>
    <w:rsid w:val="0042163B"/>
    <w:rsid w:val="00421C04"/>
    <w:rsid w:val="00422AF4"/>
    <w:rsid w:val="00422F74"/>
    <w:rsid w:val="004232DA"/>
    <w:rsid w:val="00423BCB"/>
    <w:rsid w:val="004241AA"/>
    <w:rsid w:val="004243E4"/>
    <w:rsid w:val="00424E73"/>
    <w:rsid w:val="004251F9"/>
    <w:rsid w:val="0042563E"/>
    <w:rsid w:val="004258EE"/>
    <w:rsid w:val="00425B75"/>
    <w:rsid w:val="00425FC7"/>
    <w:rsid w:val="00426392"/>
    <w:rsid w:val="00426905"/>
    <w:rsid w:val="00426BEF"/>
    <w:rsid w:val="00427636"/>
    <w:rsid w:val="0042774C"/>
    <w:rsid w:val="00427996"/>
    <w:rsid w:val="00427A44"/>
    <w:rsid w:val="00427CC4"/>
    <w:rsid w:val="00427DC6"/>
    <w:rsid w:val="00427E31"/>
    <w:rsid w:val="00427F5E"/>
    <w:rsid w:val="00427FC2"/>
    <w:rsid w:val="004300DD"/>
    <w:rsid w:val="00430823"/>
    <w:rsid w:val="004309E2"/>
    <w:rsid w:val="004310B3"/>
    <w:rsid w:val="004316CA"/>
    <w:rsid w:val="00431FE8"/>
    <w:rsid w:val="004320AE"/>
    <w:rsid w:val="004323BC"/>
    <w:rsid w:val="004324EA"/>
    <w:rsid w:val="0043311E"/>
    <w:rsid w:val="00433298"/>
    <w:rsid w:val="00433357"/>
    <w:rsid w:val="0043353E"/>
    <w:rsid w:val="004336F3"/>
    <w:rsid w:val="00434102"/>
    <w:rsid w:val="004342C0"/>
    <w:rsid w:val="0043433B"/>
    <w:rsid w:val="00434718"/>
    <w:rsid w:val="00434876"/>
    <w:rsid w:val="00434C0E"/>
    <w:rsid w:val="00434CFB"/>
    <w:rsid w:val="00435769"/>
    <w:rsid w:val="00435A5C"/>
    <w:rsid w:val="00435CB2"/>
    <w:rsid w:val="00436383"/>
    <w:rsid w:val="00436935"/>
    <w:rsid w:val="0043715F"/>
    <w:rsid w:val="00437277"/>
    <w:rsid w:val="004372A9"/>
    <w:rsid w:val="00437402"/>
    <w:rsid w:val="00437695"/>
    <w:rsid w:val="004377A3"/>
    <w:rsid w:val="00437A7F"/>
    <w:rsid w:val="00437BC3"/>
    <w:rsid w:val="00437CE8"/>
    <w:rsid w:val="00437CFC"/>
    <w:rsid w:val="00437D48"/>
    <w:rsid w:val="0044098F"/>
    <w:rsid w:val="00440AD2"/>
    <w:rsid w:val="00440B2D"/>
    <w:rsid w:val="00440E36"/>
    <w:rsid w:val="00440EC4"/>
    <w:rsid w:val="00441682"/>
    <w:rsid w:val="00441B97"/>
    <w:rsid w:val="00441EC9"/>
    <w:rsid w:val="0044215D"/>
    <w:rsid w:val="00442AE3"/>
    <w:rsid w:val="00442B71"/>
    <w:rsid w:val="004439DF"/>
    <w:rsid w:val="00443AF9"/>
    <w:rsid w:val="0044409D"/>
    <w:rsid w:val="00444C51"/>
    <w:rsid w:val="00444C8C"/>
    <w:rsid w:val="00445D90"/>
    <w:rsid w:val="0044653F"/>
    <w:rsid w:val="00446679"/>
    <w:rsid w:val="004472AE"/>
    <w:rsid w:val="00447FC6"/>
    <w:rsid w:val="0045074E"/>
    <w:rsid w:val="00450FCC"/>
    <w:rsid w:val="004513DC"/>
    <w:rsid w:val="00451C23"/>
    <w:rsid w:val="004526A7"/>
    <w:rsid w:val="00452F3D"/>
    <w:rsid w:val="00453913"/>
    <w:rsid w:val="00453D0B"/>
    <w:rsid w:val="004544AB"/>
    <w:rsid w:val="00454753"/>
    <w:rsid w:val="00454896"/>
    <w:rsid w:val="004557CE"/>
    <w:rsid w:val="00455D17"/>
    <w:rsid w:val="00457686"/>
    <w:rsid w:val="00457E8A"/>
    <w:rsid w:val="0046008E"/>
    <w:rsid w:val="00460EE6"/>
    <w:rsid w:val="004621DA"/>
    <w:rsid w:val="00462330"/>
    <w:rsid w:val="0046235A"/>
    <w:rsid w:val="004624E0"/>
    <w:rsid w:val="004628C9"/>
    <w:rsid w:val="00463318"/>
    <w:rsid w:val="00463977"/>
    <w:rsid w:val="00463D58"/>
    <w:rsid w:val="0046464C"/>
    <w:rsid w:val="00464817"/>
    <w:rsid w:val="00464E85"/>
    <w:rsid w:val="00465793"/>
    <w:rsid w:val="0046604A"/>
    <w:rsid w:val="004660E1"/>
    <w:rsid w:val="00466143"/>
    <w:rsid w:val="0046645E"/>
    <w:rsid w:val="00466495"/>
    <w:rsid w:val="00467219"/>
    <w:rsid w:val="00467876"/>
    <w:rsid w:val="00470129"/>
    <w:rsid w:val="0047016C"/>
    <w:rsid w:val="00470BDA"/>
    <w:rsid w:val="00471D96"/>
    <w:rsid w:val="00472127"/>
    <w:rsid w:val="00472311"/>
    <w:rsid w:val="004729F2"/>
    <w:rsid w:val="00472A38"/>
    <w:rsid w:val="00473106"/>
    <w:rsid w:val="00473116"/>
    <w:rsid w:val="00473849"/>
    <w:rsid w:val="0047450C"/>
    <w:rsid w:val="004748FF"/>
    <w:rsid w:val="00474C4F"/>
    <w:rsid w:val="00475321"/>
    <w:rsid w:val="00475B99"/>
    <w:rsid w:val="00475E88"/>
    <w:rsid w:val="004776D6"/>
    <w:rsid w:val="00477735"/>
    <w:rsid w:val="00477E87"/>
    <w:rsid w:val="0048009E"/>
    <w:rsid w:val="004806C4"/>
    <w:rsid w:val="004815AB"/>
    <w:rsid w:val="004818B8"/>
    <w:rsid w:val="00482CDF"/>
    <w:rsid w:val="00483617"/>
    <w:rsid w:val="00483E62"/>
    <w:rsid w:val="00484612"/>
    <w:rsid w:val="00484B69"/>
    <w:rsid w:val="00484FAF"/>
    <w:rsid w:val="00485619"/>
    <w:rsid w:val="00485D5D"/>
    <w:rsid w:val="00486A88"/>
    <w:rsid w:val="00486C20"/>
    <w:rsid w:val="00486CBB"/>
    <w:rsid w:val="004875B7"/>
    <w:rsid w:val="00487678"/>
    <w:rsid w:val="00487B94"/>
    <w:rsid w:val="00487D74"/>
    <w:rsid w:val="00487E5E"/>
    <w:rsid w:val="004901AD"/>
    <w:rsid w:val="00490EE0"/>
    <w:rsid w:val="00492815"/>
    <w:rsid w:val="00492A9E"/>
    <w:rsid w:val="00492ABB"/>
    <w:rsid w:val="00492B50"/>
    <w:rsid w:val="00492F00"/>
    <w:rsid w:val="00492F1F"/>
    <w:rsid w:val="004939C3"/>
    <w:rsid w:val="00493B91"/>
    <w:rsid w:val="00493D37"/>
    <w:rsid w:val="00493FEE"/>
    <w:rsid w:val="00494160"/>
    <w:rsid w:val="004942C5"/>
    <w:rsid w:val="004942E9"/>
    <w:rsid w:val="004944B1"/>
    <w:rsid w:val="004944FC"/>
    <w:rsid w:val="00495CBB"/>
    <w:rsid w:val="00495D72"/>
    <w:rsid w:val="00495FDC"/>
    <w:rsid w:val="004965D3"/>
    <w:rsid w:val="00496D71"/>
    <w:rsid w:val="004971A8"/>
    <w:rsid w:val="0049764B"/>
    <w:rsid w:val="00497A2D"/>
    <w:rsid w:val="004A065E"/>
    <w:rsid w:val="004A0B33"/>
    <w:rsid w:val="004A0F51"/>
    <w:rsid w:val="004A1959"/>
    <w:rsid w:val="004A1E40"/>
    <w:rsid w:val="004A2B44"/>
    <w:rsid w:val="004A3DA4"/>
    <w:rsid w:val="004A46DE"/>
    <w:rsid w:val="004A5B7F"/>
    <w:rsid w:val="004A5BD6"/>
    <w:rsid w:val="004A627C"/>
    <w:rsid w:val="004A63FD"/>
    <w:rsid w:val="004A6B3F"/>
    <w:rsid w:val="004A6FC9"/>
    <w:rsid w:val="004A73BD"/>
    <w:rsid w:val="004A7ADA"/>
    <w:rsid w:val="004A7E46"/>
    <w:rsid w:val="004A7E4E"/>
    <w:rsid w:val="004B0581"/>
    <w:rsid w:val="004B0894"/>
    <w:rsid w:val="004B0A7A"/>
    <w:rsid w:val="004B0ECC"/>
    <w:rsid w:val="004B0F03"/>
    <w:rsid w:val="004B16FA"/>
    <w:rsid w:val="004B1A4A"/>
    <w:rsid w:val="004B1AE0"/>
    <w:rsid w:val="004B1E7D"/>
    <w:rsid w:val="004B3139"/>
    <w:rsid w:val="004B3283"/>
    <w:rsid w:val="004B32E2"/>
    <w:rsid w:val="004B353B"/>
    <w:rsid w:val="004B35E1"/>
    <w:rsid w:val="004B37AB"/>
    <w:rsid w:val="004B4092"/>
    <w:rsid w:val="004B4347"/>
    <w:rsid w:val="004B44AE"/>
    <w:rsid w:val="004B4514"/>
    <w:rsid w:val="004B4A6D"/>
    <w:rsid w:val="004B5500"/>
    <w:rsid w:val="004B606A"/>
    <w:rsid w:val="004B6432"/>
    <w:rsid w:val="004B6495"/>
    <w:rsid w:val="004B6606"/>
    <w:rsid w:val="004B6886"/>
    <w:rsid w:val="004B6AA7"/>
    <w:rsid w:val="004B6E70"/>
    <w:rsid w:val="004B78C8"/>
    <w:rsid w:val="004C0123"/>
    <w:rsid w:val="004C0B97"/>
    <w:rsid w:val="004C0BE5"/>
    <w:rsid w:val="004C0D59"/>
    <w:rsid w:val="004C0E1D"/>
    <w:rsid w:val="004C1571"/>
    <w:rsid w:val="004C1AAD"/>
    <w:rsid w:val="004C1F4E"/>
    <w:rsid w:val="004C1FC0"/>
    <w:rsid w:val="004C2966"/>
    <w:rsid w:val="004C298E"/>
    <w:rsid w:val="004C302C"/>
    <w:rsid w:val="004C31C3"/>
    <w:rsid w:val="004C3AE7"/>
    <w:rsid w:val="004C3F89"/>
    <w:rsid w:val="004C4530"/>
    <w:rsid w:val="004C4E35"/>
    <w:rsid w:val="004C4F6C"/>
    <w:rsid w:val="004C5367"/>
    <w:rsid w:val="004C53CE"/>
    <w:rsid w:val="004C5646"/>
    <w:rsid w:val="004C6114"/>
    <w:rsid w:val="004C6789"/>
    <w:rsid w:val="004C6891"/>
    <w:rsid w:val="004C6CC1"/>
    <w:rsid w:val="004D0856"/>
    <w:rsid w:val="004D0AB8"/>
    <w:rsid w:val="004D0DE0"/>
    <w:rsid w:val="004D14A0"/>
    <w:rsid w:val="004D1946"/>
    <w:rsid w:val="004D1D75"/>
    <w:rsid w:val="004D1E56"/>
    <w:rsid w:val="004D2109"/>
    <w:rsid w:val="004D21DF"/>
    <w:rsid w:val="004D28F1"/>
    <w:rsid w:val="004D2904"/>
    <w:rsid w:val="004D30B5"/>
    <w:rsid w:val="004D31A9"/>
    <w:rsid w:val="004D47DB"/>
    <w:rsid w:val="004D487C"/>
    <w:rsid w:val="004D5431"/>
    <w:rsid w:val="004D5C8B"/>
    <w:rsid w:val="004D69E5"/>
    <w:rsid w:val="004D731F"/>
    <w:rsid w:val="004D7DF9"/>
    <w:rsid w:val="004D7E4B"/>
    <w:rsid w:val="004E08FD"/>
    <w:rsid w:val="004E095F"/>
    <w:rsid w:val="004E0DD1"/>
    <w:rsid w:val="004E0EF7"/>
    <w:rsid w:val="004E11B6"/>
    <w:rsid w:val="004E1320"/>
    <w:rsid w:val="004E13D4"/>
    <w:rsid w:val="004E2227"/>
    <w:rsid w:val="004E2595"/>
    <w:rsid w:val="004E26E8"/>
    <w:rsid w:val="004E275E"/>
    <w:rsid w:val="004E2FDA"/>
    <w:rsid w:val="004E34A0"/>
    <w:rsid w:val="004E35CE"/>
    <w:rsid w:val="004E3B6B"/>
    <w:rsid w:val="004E4F99"/>
    <w:rsid w:val="004E5639"/>
    <w:rsid w:val="004E591C"/>
    <w:rsid w:val="004E62BF"/>
    <w:rsid w:val="004E6334"/>
    <w:rsid w:val="004E6A9F"/>
    <w:rsid w:val="004E6D0C"/>
    <w:rsid w:val="004E6F94"/>
    <w:rsid w:val="004E7A1A"/>
    <w:rsid w:val="004E7E25"/>
    <w:rsid w:val="004E7FF8"/>
    <w:rsid w:val="004F027D"/>
    <w:rsid w:val="004F09C4"/>
    <w:rsid w:val="004F0AC4"/>
    <w:rsid w:val="004F0CEA"/>
    <w:rsid w:val="004F1095"/>
    <w:rsid w:val="004F1204"/>
    <w:rsid w:val="004F16FD"/>
    <w:rsid w:val="004F19AA"/>
    <w:rsid w:val="004F27A6"/>
    <w:rsid w:val="004F2AA5"/>
    <w:rsid w:val="004F2D62"/>
    <w:rsid w:val="004F3941"/>
    <w:rsid w:val="004F3977"/>
    <w:rsid w:val="004F3B82"/>
    <w:rsid w:val="004F3C43"/>
    <w:rsid w:val="004F415C"/>
    <w:rsid w:val="004F44D7"/>
    <w:rsid w:val="004F44DE"/>
    <w:rsid w:val="004F4833"/>
    <w:rsid w:val="004F4DDB"/>
    <w:rsid w:val="004F4FD2"/>
    <w:rsid w:val="004F51B4"/>
    <w:rsid w:val="004F5300"/>
    <w:rsid w:val="004F5428"/>
    <w:rsid w:val="004F5AC1"/>
    <w:rsid w:val="004F5CDC"/>
    <w:rsid w:val="004F60BA"/>
    <w:rsid w:val="004F6CB8"/>
    <w:rsid w:val="004F6D8A"/>
    <w:rsid w:val="004F7919"/>
    <w:rsid w:val="004F7B36"/>
    <w:rsid w:val="004F7BCB"/>
    <w:rsid w:val="00500126"/>
    <w:rsid w:val="00500BA2"/>
    <w:rsid w:val="00500BEE"/>
    <w:rsid w:val="00501133"/>
    <w:rsid w:val="00501163"/>
    <w:rsid w:val="005017E3"/>
    <w:rsid w:val="005019D8"/>
    <w:rsid w:val="00501D44"/>
    <w:rsid w:val="00502415"/>
    <w:rsid w:val="00502AFF"/>
    <w:rsid w:val="005033AF"/>
    <w:rsid w:val="005034E0"/>
    <w:rsid w:val="00503AB9"/>
    <w:rsid w:val="00503B05"/>
    <w:rsid w:val="005045C2"/>
    <w:rsid w:val="00504641"/>
    <w:rsid w:val="00504AAA"/>
    <w:rsid w:val="00504BA9"/>
    <w:rsid w:val="005051A8"/>
    <w:rsid w:val="00505271"/>
    <w:rsid w:val="00505C7E"/>
    <w:rsid w:val="005061FB"/>
    <w:rsid w:val="0050684F"/>
    <w:rsid w:val="00506D2F"/>
    <w:rsid w:val="00506DA3"/>
    <w:rsid w:val="00507580"/>
    <w:rsid w:val="00507693"/>
    <w:rsid w:val="005078E1"/>
    <w:rsid w:val="00507B70"/>
    <w:rsid w:val="00507BBF"/>
    <w:rsid w:val="00507D4F"/>
    <w:rsid w:val="0051106D"/>
    <w:rsid w:val="00511C4C"/>
    <w:rsid w:val="00511E08"/>
    <w:rsid w:val="0051269C"/>
    <w:rsid w:val="005126E2"/>
    <w:rsid w:val="00513388"/>
    <w:rsid w:val="00513417"/>
    <w:rsid w:val="005135FB"/>
    <w:rsid w:val="00513A70"/>
    <w:rsid w:val="005141C7"/>
    <w:rsid w:val="00514447"/>
    <w:rsid w:val="005144AB"/>
    <w:rsid w:val="005147E9"/>
    <w:rsid w:val="00515F23"/>
    <w:rsid w:val="00516ED2"/>
    <w:rsid w:val="005170E1"/>
    <w:rsid w:val="00517472"/>
    <w:rsid w:val="00517498"/>
    <w:rsid w:val="005176CE"/>
    <w:rsid w:val="005179F1"/>
    <w:rsid w:val="005202DE"/>
    <w:rsid w:val="0052034D"/>
    <w:rsid w:val="00520EA7"/>
    <w:rsid w:val="0052117D"/>
    <w:rsid w:val="00521403"/>
    <w:rsid w:val="0052169F"/>
    <w:rsid w:val="00521BA4"/>
    <w:rsid w:val="00522433"/>
    <w:rsid w:val="005225D8"/>
    <w:rsid w:val="00522B48"/>
    <w:rsid w:val="005232C8"/>
    <w:rsid w:val="0052361B"/>
    <w:rsid w:val="00523900"/>
    <w:rsid w:val="00523B80"/>
    <w:rsid w:val="00523CBF"/>
    <w:rsid w:val="005243E1"/>
    <w:rsid w:val="00524670"/>
    <w:rsid w:val="005246D4"/>
    <w:rsid w:val="00524E92"/>
    <w:rsid w:val="005257D7"/>
    <w:rsid w:val="005258F4"/>
    <w:rsid w:val="00525CAD"/>
    <w:rsid w:val="00526225"/>
    <w:rsid w:val="005264C1"/>
    <w:rsid w:val="00526BB2"/>
    <w:rsid w:val="00526F6A"/>
    <w:rsid w:val="00527440"/>
    <w:rsid w:val="00527CB6"/>
    <w:rsid w:val="00527F6A"/>
    <w:rsid w:val="005314FF"/>
    <w:rsid w:val="005315FD"/>
    <w:rsid w:val="0053169A"/>
    <w:rsid w:val="00531A4B"/>
    <w:rsid w:val="00531B7D"/>
    <w:rsid w:val="00531FDF"/>
    <w:rsid w:val="00532732"/>
    <w:rsid w:val="00532CDA"/>
    <w:rsid w:val="005337F5"/>
    <w:rsid w:val="00533B8C"/>
    <w:rsid w:val="00533D8A"/>
    <w:rsid w:val="00533E8A"/>
    <w:rsid w:val="00534D94"/>
    <w:rsid w:val="005354B5"/>
    <w:rsid w:val="0053560F"/>
    <w:rsid w:val="00536007"/>
    <w:rsid w:val="005365BD"/>
    <w:rsid w:val="005368BF"/>
    <w:rsid w:val="00536931"/>
    <w:rsid w:val="00536B0A"/>
    <w:rsid w:val="00536E3B"/>
    <w:rsid w:val="00536EEB"/>
    <w:rsid w:val="00536F62"/>
    <w:rsid w:val="00537CC5"/>
    <w:rsid w:val="00537E69"/>
    <w:rsid w:val="00540C10"/>
    <w:rsid w:val="00540E76"/>
    <w:rsid w:val="00541060"/>
    <w:rsid w:val="00542926"/>
    <w:rsid w:val="00542CF4"/>
    <w:rsid w:val="00542D37"/>
    <w:rsid w:val="00543931"/>
    <w:rsid w:val="00543D16"/>
    <w:rsid w:val="00543D82"/>
    <w:rsid w:val="00543EB5"/>
    <w:rsid w:val="0054487B"/>
    <w:rsid w:val="00546296"/>
    <w:rsid w:val="005465D2"/>
    <w:rsid w:val="005468A1"/>
    <w:rsid w:val="00547682"/>
    <w:rsid w:val="00547E20"/>
    <w:rsid w:val="00547ED5"/>
    <w:rsid w:val="00550737"/>
    <w:rsid w:val="005509F4"/>
    <w:rsid w:val="00551113"/>
    <w:rsid w:val="0055143D"/>
    <w:rsid w:val="0055154E"/>
    <w:rsid w:val="005517C3"/>
    <w:rsid w:val="005517CF"/>
    <w:rsid w:val="0055194E"/>
    <w:rsid w:val="00551AA0"/>
    <w:rsid w:val="00551E5B"/>
    <w:rsid w:val="00551F75"/>
    <w:rsid w:val="0055239D"/>
    <w:rsid w:val="005525DB"/>
    <w:rsid w:val="0055426D"/>
    <w:rsid w:val="0055450E"/>
    <w:rsid w:val="00554F01"/>
    <w:rsid w:val="0055668C"/>
    <w:rsid w:val="00556939"/>
    <w:rsid w:val="005569DF"/>
    <w:rsid w:val="005570F9"/>
    <w:rsid w:val="00557EFF"/>
    <w:rsid w:val="00560404"/>
    <w:rsid w:val="0056075F"/>
    <w:rsid w:val="0056077A"/>
    <w:rsid w:val="00560AD9"/>
    <w:rsid w:val="0056144A"/>
    <w:rsid w:val="00561483"/>
    <w:rsid w:val="00561AB2"/>
    <w:rsid w:val="00561BDB"/>
    <w:rsid w:val="00562A8F"/>
    <w:rsid w:val="005631AD"/>
    <w:rsid w:val="00563274"/>
    <w:rsid w:val="00563B96"/>
    <w:rsid w:val="00564E1A"/>
    <w:rsid w:val="0056656E"/>
    <w:rsid w:val="0056692D"/>
    <w:rsid w:val="00566DA7"/>
    <w:rsid w:val="005676F3"/>
    <w:rsid w:val="005679FE"/>
    <w:rsid w:val="00567C23"/>
    <w:rsid w:val="0057063A"/>
    <w:rsid w:val="005708CA"/>
    <w:rsid w:val="00570C28"/>
    <w:rsid w:val="00570D81"/>
    <w:rsid w:val="00571485"/>
    <w:rsid w:val="0057157C"/>
    <w:rsid w:val="00571F99"/>
    <w:rsid w:val="0057325E"/>
    <w:rsid w:val="005736D1"/>
    <w:rsid w:val="005737C6"/>
    <w:rsid w:val="005739FC"/>
    <w:rsid w:val="00574B66"/>
    <w:rsid w:val="00575FBE"/>
    <w:rsid w:val="00576612"/>
    <w:rsid w:val="0057685F"/>
    <w:rsid w:val="00577A37"/>
    <w:rsid w:val="005802F0"/>
    <w:rsid w:val="005809B7"/>
    <w:rsid w:val="00580FA7"/>
    <w:rsid w:val="0058128D"/>
    <w:rsid w:val="005813D6"/>
    <w:rsid w:val="005814BB"/>
    <w:rsid w:val="0058177C"/>
    <w:rsid w:val="00581E55"/>
    <w:rsid w:val="00582449"/>
    <w:rsid w:val="005826F2"/>
    <w:rsid w:val="00582C09"/>
    <w:rsid w:val="005831B9"/>
    <w:rsid w:val="00583449"/>
    <w:rsid w:val="0058374A"/>
    <w:rsid w:val="005839A3"/>
    <w:rsid w:val="00583CCF"/>
    <w:rsid w:val="00583D51"/>
    <w:rsid w:val="00583F17"/>
    <w:rsid w:val="00583F3C"/>
    <w:rsid w:val="005861D7"/>
    <w:rsid w:val="00586CBF"/>
    <w:rsid w:val="00586DBE"/>
    <w:rsid w:val="005874FE"/>
    <w:rsid w:val="005877D8"/>
    <w:rsid w:val="00587A85"/>
    <w:rsid w:val="00590393"/>
    <w:rsid w:val="005904A5"/>
    <w:rsid w:val="00590985"/>
    <w:rsid w:val="00590ECE"/>
    <w:rsid w:val="00591624"/>
    <w:rsid w:val="0059209A"/>
    <w:rsid w:val="005921E1"/>
    <w:rsid w:val="005927D2"/>
    <w:rsid w:val="005929D1"/>
    <w:rsid w:val="00592AAA"/>
    <w:rsid w:val="005936D0"/>
    <w:rsid w:val="00594077"/>
    <w:rsid w:val="0059463F"/>
    <w:rsid w:val="00594E6C"/>
    <w:rsid w:val="005950D1"/>
    <w:rsid w:val="0059554B"/>
    <w:rsid w:val="00595836"/>
    <w:rsid w:val="00596035"/>
    <w:rsid w:val="005964B0"/>
    <w:rsid w:val="005964EE"/>
    <w:rsid w:val="005968B1"/>
    <w:rsid w:val="0059783C"/>
    <w:rsid w:val="00597D43"/>
    <w:rsid w:val="00597E79"/>
    <w:rsid w:val="00597FF2"/>
    <w:rsid w:val="005A06EB"/>
    <w:rsid w:val="005A0C26"/>
    <w:rsid w:val="005A1A79"/>
    <w:rsid w:val="005A1AE7"/>
    <w:rsid w:val="005A1F66"/>
    <w:rsid w:val="005A25E1"/>
    <w:rsid w:val="005A28FB"/>
    <w:rsid w:val="005A295D"/>
    <w:rsid w:val="005A2D98"/>
    <w:rsid w:val="005A3BD0"/>
    <w:rsid w:val="005A4A72"/>
    <w:rsid w:val="005A4ABE"/>
    <w:rsid w:val="005A4D4E"/>
    <w:rsid w:val="005A4DB1"/>
    <w:rsid w:val="005A5210"/>
    <w:rsid w:val="005A5239"/>
    <w:rsid w:val="005A60CA"/>
    <w:rsid w:val="005A699A"/>
    <w:rsid w:val="005A782B"/>
    <w:rsid w:val="005B141B"/>
    <w:rsid w:val="005B18C0"/>
    <w:rsid w:val="005B210F"/>
    <w:rsid w:val="005B2AAF"/>
    <w:rsid w:val="005B2B02"/>
    <w:rsid w:val="005B330D"/>
    <w:rsid w:val="005B33C6"/>
    <w:rsid w:val="005B352F"/>
    <w:rsid w:val="005B3A44"/>
    <w:rsid w:val="005B3A61"/>
    <w:rsid w:val="005B438B"/>
    <w:rsid w:val="005B44B0"/>
    <w:rsid w:val="005B48A3"/>
    <w:rsid w:val="005B4E3B"/>
    <w:rsid w:val="005B5029"/>
    <w:rsid w:val="005B520C"/>
    <w:rsid w:val="005B56DA"/>
    <w:rsid w:val="005B59F9"/>
    <w:rsid w:val="005B5CFE"/>
    <w:rsid w:val="005B5F8B"/>
    <w:rsid w:val="005B5FDA"/>
    <w:rsid w:val="005B66A1"/>
    <w:rsid w:val="005B678D"/>
    <w:rsid w:val="005B7094"/>
    <w:rsid w:val="005B7257"/>
    <w:rsid w:val="005B742C"/>
    <w:rsid w:val="005B7448"/>
    <w:rsid w:val="005C03D9"/>
    <w:rsid w:val="005C0FD7"/>
    <w:rsid w:val="005C1103"/>
    <w:rsid w:val="005C1806"/>
    <w:rsid w:val="005C1818"/>
    <w:rsid w:val="005C1D98"/>
    <w:rsid w:val="005C2371"/>
    <w:rsid w:val="005C26C3"/>
    <w:rsid w:val="005C29E9"/>
    <w:rsid w:val="005C3AA8"/>
    <w:rsid w:val="005C3F4E"/>
    <w:rsid w:val="005C4041"/>
    <w:rsid w:val="005C492F"/>
    <w:rsid w:val="005C57DB"/>
    <w:rsid w:val="005C6A64"/>
    <w:rsid w:val="005C6C69"/>
    <w:rsid w:val="005C7528"/>
    <w:rsid w:val="005C7A8F"/>
    <w:rsid w:val="005C7FE0"/>
    <w:rsid w:val="005D06E2"/>
    <w:rsid w:val="005D0FA0"/>
    <w:rsid w:val="005D1569"/>
    <w:rsid w:val="005D1B10"/>
    <w:rsid w:val="005D1BF8"/>
    <w:rsid w:val="005D1E3F"/>
    <w:rsid w:val="005D2152"/>
    <w:rsid w:val="005D215F"/>
    <w:rsid w:val="005D2472"/>
    <w:rsid w:val="005D24DD"/>
    <w:rsid w:val="005D3025"/>
    <w:rsid w:val="005D3562"/>
    <w:rsid w:val="005D3759"/>
    <w:rsid w:val="005D3775"/>
    <w:rsid w:val="005D39C5"/>
    <w:rsid w:val="005D3D82"/>
    <w:rsid w:val="005D43EC"/>
    <w:rsid w:val="005D50E0"/>
    <w:rsid w:val="005D591C"/>
    <w:rsid w:val="005D6709"/>
    <w:rsid w:val="005D6C9B"/>
    <w:rsid w:val="005D6CE8"/>
    <w:rsid w:val="005D7073"/>
    <w:rsid w:val="005D7196"/>
    <w:rsid w:val="005D7CD0"/>
    <w:rsid w:val="005E059D"/>
    <w:rsid w:val="005E1EDE"/>
    <w:rsid w:val="005E2091"/>
    <w:rsid w:val="005E2465"/>
    <w:rsid w:val="005E2E83"/>
    <w:rsid w:val="005E3131"/>
    <w:rsid w:val="005E31F6"/>
    <w:rsid w:val="005E32CA"/>
    <w:rsid w:val="005E3AB1"/>
    <w:rsid w:val="005E44E0"/>
    <w:rsid w:val="005E5151"/>
    <w:rsid w:val="005E59F4"/>
    <w:rsid w:val="005E5E71"/>
    <w:rsid w:val="005E60F7"/>
    <w:rsid w:val="005E6189"/>
    <w:rsid w:val="005E6981"/>
    <w:rsid w:val="005E6B32"/>
    <w:rsid w:val="005E7931"/>
    <w:rsid w:val="005F19AF"/>
    <w:rsid w:val="005F1AD8"/>
    <w:rsid w:val="005F2202"/>
    <w:rsid w:val="005F291C"/>
    <w:rsid w:val="005F3234"/>
    <w:rsid w:val="005F41AE"/>
    <w:rsid w:val="005F4213"/>
    <w:rsid w:val="005F4B02"/>
    <w:rsid w:val="005F4F5B"/>
    <w:rsid w:val="005F5362"/>
    <w:rsid w:val="005F5805"/>
    <w:rsid w:val="005F5DA5"/>
    <w:rsid w:val="005F5DB4"/>
    <w:rsid w:val="005F62F4"/>
    <w:rsid w:val="005F64A6"/>
    <w:rsid w:val="005F66DD"/>
    <w:rsid w:val="005F682C"/>
    <w:rsid w:val="005F6E66"/>
    <w:rsid w:val="005F6F6B"/>
    <w:rsid w:val="005F7D00"/>
    <w:rsid w:val="005F7F87"/>
    <w:rsid w:val="00600095"/>
    <w:rsid w:val="00600479"/>
    <w:rsid w:val="00600AED"/>
    <w:rsid w:val="00600CDE"/>
    <w:rsid w:val="00601DBC"/>
    <w:rsid w:val="0060239B"/>
    <w:rsid w:val="00604311"/>
    <w:rsid w:val="006045D3"/>
    <w:rsid w:val="006049CC"/>
    <w:rsid w:val="00605130"/>
    <w:rsid w:val="006056DC"/>
    <w:rsid w:val="00605C61"/>
    <w:rsid w:val="00606974"/>
    <w:rsid w:val="00606C74"/>
    <w:rsid w:val="006074BD"/>
    <w:rsid w:val="006075D7"/>
    <w:rsid w:val="00607649"/>
    <w:rsid w:val="00607961"/>
    <w:rsid w:val="00607D8B"/>
    <w:rsid w:val="006104F2"/>
    <w:rsid w:val="00611349"/>
    <w:rsid w:val="00611480"/>
    <w:rsid w:val="00611B8F"/>
    <w:rsid w:val="00611D29"/>
    <w:rsid w:val="00611EF7"/>
    <w:rsid w:val="006122BA"/>
    <w:rsid w:val="00612A99"/>
    <w:rsid w:val="00612C7D"/>
    <w:rsid w:val="00612E2B"/>
    <w:rsid w:val="00613AD3"/>
    <w:rsid w:val="00613C27"/>
    <w:rsid w:val="006140B3"/>
    <w:rsid w:val="00615A65"/>
    <w:rsid w:val="00616832"/>
    <w:rsid w:val="00616DC9"/>
    <w:rsid w:val="00616FF2"/>
    <w:rsid w:val="00617126"/>
    <w:rsid w:val="00617242"/>
    <w:rsid w:val="00617401"/>
    <w:rsid w:val="006176A1"/>
    <w:rsid w:val="00617D42"/>
    <w:rsid w:val="00617D65"/>
    <w:rsid w:val="00621CDB"/>
    <w:rsid w:val="00621D69"/>
    <w:rsid w:val="00622808"/>
    <w:rsid w:val="0062298C"/>
    <w:rsid w:val="00623229"/>
    <w:rsid w:val="006236D3"/>
    <w:rsid w:val="00623ED1"/>
    <w:rsid w:val="0062433B"/>
    <w:rsid w:val="00624419"/>
    <w:rsid w:val="0062473C"/>
    <w:rsid w:val="00624874"/>
    <w:rsid w:val="0062524E"/>
    <w:rsid w:val="0062526B"/>
    <w:rsid w:val="0062527D"/>
    <w:rsid w:val="00626183"/>
    <w:rsid w:val="00626503"/>
    <w:rsid w:val="006265B8"/>
    <w:rsid w:val="00626885"/>
    <w:rsid w:val="00626998"/>
    <w:rsid w:val="00626B80"/>
    <w:rsid w:val="0062705C"/>
    <w:rsid w:val="00627564"/>
    <w:rsid w:val="00627900"/>
    <w:rsid w:val="00627AE4"/>
    <w:rsid w:val="00627B6C"/>
    <w:rsid w:val="00630024"/>
    <w:rsid w:val="006303D9"/>
    <w:rsid w:val="00630E9D"/>
    <w:rsid w:val="006311A3"/>
    <w:rsid w:val="006315CB"/>
    <w:rsid w:val="00631E0B"/>
    <w:rsid w:val="006330E7"/>
    <w:rsid w:val="0063346E"/>
    <w:rsid w:val="00633495"/>
    <w:rsid w:val="00633B96"/>
    <w:rsid w:val="00633D06"/>
    <w:rsid w:val="006340B6"/>
    <w:rsid w:val="00634992"/>
    <w:rsid w:val="00634A13"/>
    <w:rsid w:val="00634A3B"/>
    <w:rsid w:val="006362CA"/>
    <w:rsid w:val="0063683C"/>
    <w:rsid w:val="00636ECE"/>
    <w:rsid w:val="00636F1D"/>
    <w:rsid w:val="00640016"/>
    <w:rsid w:val="006403EC"/>
    <w:rsid w:val="00640CF5"/>
    <w:rsid w:val="0064183D"/>
    <w:rsid w:val="00641D78"/>
    <w:rsid w:val="00642649"/>
    <w:rsid w:val="006427D8"/>
    <w:rsid w:val="006429BF"/>
    <w:rsid w:val="00642A15"/>
    <w:rsid w:val="00643610"/>
    <w:rsid w:val="00644159"/>
    <w:rsid w:val="006442F6"/>
    <w:rsid w:val="006447DC"/>
    <w:rsid w:val="00644B0E"/>
    <w:rsid w:val="00644D79"/>
    <w:rsid w:val="006451BC"/>
    <w:rsid w:val="00645D83"/>
    <w:rsid w:val="00646274"/>
    <w:rsid w:val="0064647E"/>
    <w:rsid w:val="00646B0B"/>
    <w:rsid w:val="00646F91"/>
    <w:rsid w:val="00647611"/>
    <w:rsid w:val="00650249"/>
    <w:rsid w:val="0065041E"/>
    <w:rsid w:val="00650580"/>
    <w:rsid w:val="00650EB5"/>
    <w:rsid w:val="00651166"/>
    <w:rsid w:val="006514F6"/>
    <w:rsid w:val="00651546"/>
    <w:rsid w:val="0065173D"/>
    <w:rsid w:val="0065180E"/>
    <w:rsid w:val="006521E7"/>
    <w:rsid w:val="00652B3D"/>
    <w:rsid w:val="00652B91"/>
    <w:rsid w:val="00653EC0"/>
    <w:rsid w:val="00653F23"/>
    <w:rsid w:val="006542C7"/>
    <w:rsid w:val="006548EB"/>
    <w:rsid w:val="0065494E"/>
    <w:rsid w:val="00655729"/>
    <w:rsid w:val="0065654C"/>
    <w:rsid w:val="00656553"/>
    <w:rsid w:val="006565C5"/>
    <w:rsid w:val="006566A5"/>
    <w:rsid w:val="00656BC5"/>
    <w:rsid w:val="00656CE6"/>
    <w:rsid w:val="00657153"/>
    <w:rsid w:val="00657235"/>
    <w:rsid w:val="0065774F"/>
    <w:rsid w:val="00657EC2"/>
    <w:rsid w:val="006604A3"/>
    <w:rsid w:val="00660769"/>
    <w:rsid w:val="00660ADD"/>
    <w:rsid w:val="00660BF7"/>
    <w:rsid w:val="00661605"/>
    <w:rsid w:val="00662B35"/>
    <w:rsid w:val="00662E89"/>
    <w:rsid w:val="00663FBF"/>
    <w:rsid w:val="0066476B"/>
    <w:rsid w:val="00665366"/>
    <w:rsid w:val="0066578E"/>
    <w:rsid w:val="00665B92"/>
    <w:rsid w:val="00665FB6"/>
    <w:rsid w:val="006661FB"/>
    <w:rsid w:val="00666266"/>
    <w:rsid w:val="00666ADC"/>
    <w:rsid w:val="00666E63"/>
    <w:rsid w:val="00667998"/>
    <w:rsid w:val="0067023B"/>
    <w:rsid w:val="006703DA"/>
    <w:rsid w:val="00670612"/>
    <w:rsid w:val="00670970"/>
    <w:rsid w:val="00670FF5"/>
    <w:rsid w:val="006710DE"/>
    <w:rsid w:val="00671264"/>
    <w:rsid w:val="006721E6"/>
    <w:rsid w:val="00672739"/>
    <w:rsid w:val="006727C4"/>
    <w:rsid w:val="006727EC"/>
    <w:rsid w:val="00672A48"/>
    <w:rsid w:val="00673565"/>
    <w:rsid w:val="00673879"/>
    <w:rsid w:val="00673EC6"/>
    <w:rsid w:val="00675FDA"/>
    <w:rsid w:val="00676501"/>
    <w:rsid w:val="00676E84"/>
    <w:rsid w:val="00677136"/>
    <w:rsid w:val="0068056E"/>
    <w:rsid w:val="00680B62"/>
    <w:rsid w:val="00681069"/>
    <w:rsid w:val="00681419"/>
    <w:rsid w:val="0068192B"/>
    <w:rsid w:val="00681C17"/>
    <w:rsid w:val="00681D4D"/>
    <w:rsid w:val="00682DEA"/>
    <w:rsid w:val="00682E32"/>
    <w:rsid w:val="006839E2"/>
    <w:rsid w:val="00683C6A"/>
    <w:rsid w:val="0068454D"/>
    <w:rsid w:val="0068464C"/>
    <w:rsid w:val="0068487F"/>
    <w:rsid w:val="00684ED8"/>
    <w:rsid w:val="00685123"/>
    <w:rsid w:val="0068512C"/>
    <w:rsid w:val="006852CA"/>
    <w:rsid w:val="006854B4"/>
    <w:rsid w:val="00685A99"/>
    <w:rsid w:val="006866E8"/>
    <w:rsid w:val="006867F7"/>
    <w:rsid w:val="00686CCE"/>
    <w:rsid w:val="00686ED8"/>
    <w:rsid w:val="0068756C"/>
    <w:rsid w:val="0068790B"/>
    <w:rsid w:val="00687BFC"/>
    <w:rsid w:val="00687C3F"/>
    <w:rsid w:val="00687E90"/>
    <w:rsid w:val="0069026C"/>
    <w:rsid w:val="006905A5"/>
    <w:rsid w:val="00690A5E"/>
    <w:rsid w:val="00690DDA"/>
    <w:rsid w:val="00691708"/>
    <w:rsid w:val="00691CEC"/>
    <w:rsid w:val="00692264"/>
    <w:rsid w:val="00692563"/>
    <w:rsid w:val="006927C6"/>
    <w:rsid w:val="006928AB"/>
    <w:rsid w:val="00693874"/>
    <w:rsid w:val="00693F00"/>
    <w:rsid w:val="00694089"/>
    <w:rsid w:val="0069465C"/>
    <w:rsid w:val="00694C8B"/>
    <w:rsid w:val="00695A56"/>
    <w:rsid w:val="006964FB"/>
    <w:rsid w:val="00696598"/>
    <w:rsid w:val="00696831"/>
    <w:rsid w:val="006969D9"/>
    <w:rsid w:val="006974CD"/>
    <w:rsid w:val="00697B0C"/>
    <w:rsid w:val="006A08AB"/>
    <w:rsid w:val="006A09DC"/>
    <w:rsid w:val="006A0AD7"/>
    <w:rsid w:val="006A0FEA"/>
    <w:rsid w:val="006A155C"/>
    <w:rsid w:val="006A164C"/>
    <w:rsid w:val="006A17C2"/>
    <w:rsid w:val="006A17E5"/>
    <w:rsid w:val="006A1814"/>
    <w:rsid w:val="006A1CA5"/>
    <w:rsid w:val="006A1F92"/>
    <w:rsid w:val="006A2B0D"/>
    <w:rsid w:val="006A3207"/>
    <w:rsid w:val="006A3616"/>
    <w:rsid w:val="006A37E4"/>
    <w:rsid w:val="006A4883"/>
    <w:rsid w:val="006A48AE"/>
    <w:rsid w:val="006A48B3"/>
    <w:rsid w:val="006A48CF"/>
    <w:rsid w:val="006A4F2F"/>
    <w:rsid w:val="006A50BF"/>
    <w:rsid w:val="006A598C"/>
    <w:rsid w:val="006A5A30"/>
    <w:rsid w:val="006A5D91"/>
    <w:rsid w:val="006A6D1D"/>
    <w:rsid w:val="006A7510"/>
    <w:rsid w:val="006A7E4F"/>
    <w:rsid w:val="006B02AA"/>
    <w:rsid w:val="006B039B"/>
    <w:rsid w:val="006B046A"/>
    <w:rsid w:val="006B0556"/>
    <w:rsid w:val="006B0C3F"/>
    <w:rsid w:val="006B11B4"/>
    <w:rsid w:val="006B1867"/>
    <w:rsid w:val="006B1EF7"/>
    <w:rsid w:val="006B2392"/>
    <w:rsid w:val="006B24EA"/>
    <w:rsid w:val="006B2BEF"/>
    <w:rsid w:val="006B2CC5"/>
    <w:rsid w:val="006B3CA9"/>
    <w:rsid w:val="006B3E21"/>
    <w:rsid w:val="006B4AEB"/>
    <w:rsid w:val="006B51AF"/>
    <w:rsid w:val="006B5923"/>
    <w:rsid w:val="006B5D38"/>
    <w:rsid w:val="006B658E"/>
    <w:rsid w:val="006C0045"/>
    <w:rsid w:val="006C0447"/>
    <w:rsid w:val="006C0AEE"/>
    <w:rsid w:val="006C1417"/>
    <w:rsid w:val="006C181D"/>
    <w:rsid w:val="006C2325"/>
    <w:rsid w:val="006C28DF"/>
    <w:rsid w:val="006C2B66"/>
    <w:rsid w:val="006C2CE0"/>
    <w:rsid w:val="006C38F0"/>
    <w:rsid w:val="006C4031"/>
    <w:rsid w:val="006C4E7D"/>
    <w:rsid w:val="006C53AC"/>
    <w:rsid w:val="006C55B6"/>
    <w:rsid w:val="006C5684"/>
    <w:rsid w:val="006C72EB"/>
    <w:rsid w:val="006C7DB9"/>
    <w:rsid w:val="006D00FA"/>
    <w:rsid w:val="006D0B20"/>
    <w:rsid w:val="006D0D11"/>
    <w:rsid w:val="006D1089"/>
    <w:rsid w:val="006D1159"/>
    <w:rsid w:val="006D1EAD"/>
    <w:rsid w:val="006D209F"/>
    <w:rsid w:val="006D2A73"/>
    <w:rsid w:val="006D2D49"/>
    <w:rsid w:val="006D315F"/>
    <w:rsid w:val="006D3ADD"/>
    <w:rsid w:val="006D407F"/>
    <w:rsid w:val="006D4531"/>
    <w:rsid w:val="006D46D6"/>
    <w:rsid w:val="006D4999"/>
    <w:rsid w:val="006D513C"/>
    <w:rsid w:val="006D53AA"/>
    <w:rsid w:val="006D57EC"/>
    <w:rsid w:val="006D5CA2"/>
    <w:rsid w:val="006D5F06"/>
    <w:rsid w:val="006D69A5"/>
    <w:rsid w:val="006D7271"/>
    <w:rsid w:val="006D79C6"/>
    <w:rsid w:val="006E0DA8"/>
    <w:rsid w:val="006E1AD5"/>
    <w:rsid w:val="006E2B5E"/>
    <w:rsid w:val="006E2CDC"/>
    <w:rsid w:val="006E2DFA"/>
    <w:rsid w:val="006E3598"/>
    <w:rsid w:val="006E3644"/>
    <w:rsid w:val="006E36C7"/>
    <w:rsid w:val="006E45A3"/>
    <w:rsid w:val="006E4EE3"/>
    <w:rsid w:val="006E53D0"/>
    <w:rsid w:val="006E5865"/>
    <w:rsid w:val="006E604B"/>
    <w:rsid w:val="006E6170"/>
    <w:rsid w:val="006E6185"/>
    <w:rsid w:val="006E66A6"/>
    <w:rsid w:val="006E6B38"/>
    <w:rsid w:val="006E7A88"/>
    <w:rsid w:val="006E7AA0"/>
    <w:rsid w:val="006F0153"/>
    <w:rsid w:val="006F022E"/>
    <w:rsid w:val="006F0CBB"/>
    <w:rsid w:val="006F1927"/>
    <w:rsid w:val="006F1F0D"/>
    <w:rsid w:val="006F24EF"/>
    <w:rsid w:val="006F2568"/>
    <w:rsid w:val="006F275E"/>
    <w:rsid w:val="006F2818"/>
    <w:rsid w:val="006F2A69"/>
    <w:rsid w:val="006F2BA1"/>
    <w:rsid w:val="006F34A0"/>
    <w:rsid w:val="006F393F"/>
    <w:rsid w:val="006F39DE"/>
    <w:rsid w:val="006F3A12"/>
    <w:rsid w:val="006F3BE8"/>
    <w:rsid w:val="006F3CE9"/>
    <w:rsid w:val="006F43BC"/>
    <w:rsid w:val="006F4890"/>
    <w:rsid w:val="006F4E77"/>
    <w:rsid w:val="006F55F6"/>
    <w:rsid w:val="006F5FDB"/>
    <w:rsid w:val="006F61A9"/>
    <w:rsid w:val="006F63CC"/>
    <w:rsid w:val="006F7CB4"/>
    <w:rsid w:val="006F7EC6"/>
    <w:rsid w:val="0070037F"/>
    <w:rsid w:val="00700DD4"/>
    <w:rsid w:val="007014B2"/>
    <w:rsid w:val="00701E13"/>
    <w:rsid w:val="00702062"/>
    <w:rsid w:val="007026F8"/>
    <w:rsid w:val="00702A60"/>
    <w:rsid w:val="00702D72"/>
    <w:rsid w:val="00702EC0"/>
    <w:rsid w:val="00704992"/>
    <w:rsid w:val="00704B35"/>
    <w:rsid w:val="0070519C"/>
    <w:rsid w:val="007052C6"/>
    <w:rsid w:val="007052D8"/>
    <w:rsid w:val="007055C7"/>
    <w:rsid w:val="00705B1F"/>
    <w:rsid w:val="00705BA4"/>
    <w:rsid w:val="00705BE7"/>
    <w:rsid w:val="00706F10"/>
    <w:rsid w:val="007070B0"/>
    <w:rsid w:val="00707364"/>
    <w:rsid w:val="0071081C"/>
    <w:rsid w:val="0071093E"/>
    <w:rsid w:val="00710B62"/>
    <w:rsid w:val="00710BFD"/>
    <w:rsid w:val="00710EBE"/>
    <w:rsid w:val="0071173A"/>
    <w:rsid w:val="00711D76"/>
    <w:rsid w:val="007120A0"/>
    <w:rsid w:val="0071281B"/>
    <w:rsid w:val="007129E7"/>
    <w:rsid w:val="00712D4B"/>
    <w:rsid w:val="00712E05"/>
    <w:rsid w:val="00713227"/>
    <w:rsid w:val="007132B7"/>
    <w:rsid w:val="0071330A"/>
    <w:rsid w:val="00713C13"/>
    <w:rsid w:val="00714571"/>
    <w:rsid w:val="007148F4"/>
    <w:rsid w:val="00714CDD"/>
    <w:rsid w:val="00714EF6"/>
    <w:rsid w:val="007156B7"/>
    <w:rsid w:val="00715C85"/>
    <w:rsid w:val="00716C0B"/>
    <w:rsid w:val="007177E7"/>
    <w:rsid w:val="007178F1"/>
    <w:rsid w:val="00717A62"/>
    <w:rsid w:val="00717D48"/>
    <w:rsid w:val="00717F25"/>
    <w:rsid w:val="00720721"/>
    <w:rsid w:val="00721136"/>
    <w:rsid w:val="00721F4D"/>
    <w:rsid w:val="00722365"/>
    <w:rsid w:val="00722397"/>
    <w:rsid w:val="007225CF"/>
    <w:rsid w:val="007226C0"/>
    <w:rsid w:val="00722751"/>
    <w:rsid w:val="007228E8"/>
    <w:rsid w:val="00723658"/>
    <w:rsid w:val="00723A62"/>
    <w:rsid w:val="00724504"/>
    <w:rsid w:val="00724E62"/>
    <w:rsid w:val="007252FC"/>
    <w:rsid w:val="007254EA"/>
    <w:rsid w:val="007257C8"/>
    <w:rsid w:val="007259FE"/>
    <w:rsid w:val="00725A68"/>
    <w:rsid w:val="00726451"/>
    <w:rsid w:val="007265A4"/>
    <w:rsid w:val="007267EA"/>
    <w:rsid w:val="00726882"/>
    <w:rsid w:val="00726B78"/>
    <w:rsid w:val="0072727B"/>
    <w:rsid w:val="00727725"/>
    <w:rsid w:val="00727759"/>
    <w:rsid w:val="00727BAB"/>
    <w:rsid w:val="0073012E"/>
    <w:rsid w:val="00730480"/>
    <w:rsid w:val="007305E3"/>
    <w:rsid w:val="0073062C"/>
    <w:rsid w:val="00730D76"/>
    <w:rsid w:val="00731CFC"/>
    <w:rsid w:val="0073245F"/>
    <w:rsid w:val="00732B16"/>
    <w:rsid w:val="00732E3D"/>
    <w:rsid w:val="007332F0"/>
    <w:rsid w:val="0073378E"/>
    <w:rsid w:val="00734876"/>
    <w:rsid w:val="00734AD0"/>
    <w:rsid w:val="00734C4D"/>
    <w:rsid w:val="00734CFB"/>
    <w:rsid w:val="0073557D"/>
    <w:rsid w:val="007364AD"/>
    <w:rsid w:val="00736813"/>
    <w:rsid w:val="00736AB7"/>
    <w:rsid w:val="0073739D"/>
    <w:rsid w:val="007377DF"/>
    <w:rsid w:val="00740477"/>
    <w:rsid w:val="0074094A"/>
    <w:rsid w:val="00740D76"/>
    <w:rsid w:val="00742115"/>
    <w:rsid w:val="00742512"/>
    <w:rsid w:val="00742BC7"/>
    <w:rsid w:val="00742D91"/>
    <w:rsid w:val="00742FE5"/>
    <w:rsid w:val="00742FF0"/>
    <w:rsid w:val="007431ED"/>
    <w:rsid w:val="007434B3"/>
    <w:rsid w:val="007434C8"/>
    <w:rsid w:val="00744777"/>
    <w:rsid w:val="007453C2"/>
    <w:rsid w:val="00745632"/>
    <w:rsid w:val="007456F0"/>
    <w:rsid w:val="00746725"/>
    <w:rsid w:val="007469B4"/>
    <w:rsid w:val="00747853"/>
    <w:rsid w:val="007479AB"/>
    <w:rsid w:val="00747DC6"/>
    <w:rsid w:val="0075066A"/>
    <w:rsid w:val="00750CDA"/>
    <w:rsid w:val="007515C2"/>
    <w:rsid w:val="0075173D"/>
    <w:rsid w:val="00751DBF"/>
    <w:rsid w:val="00752419"/>
    <w:rsid w:val="0075279B"/>
    <w:rsid w:val="0075297C"/>
    <w:rsid w:val="00752F34"/>
    <w:rsid w:val="00752FEB"/>
    <w:rsid w:val="00753068"/>
    <w:rsid w:val="007531FE"/>
    <w:rsid w:val="00753742"/>
    <w:rsid w:val="007537B6"/>
    <w:rsid w:val="0075424A"/>
    <w:rsid w:val="00754351"/>
    <w:rsid w:val="0075478C"/>
    <w:rsid w:val="00754A43"/>
    <w:rsid w:val="00754A97"/>
    <w:rsid w:val="00755485"/>
    <w:rsid w:val="007556C2"/>
    <w:rsid w:val="00756630"/>
    <w:rsid w:val="0075671B"/>
    <w:rsid w:val="00756B46"/>
    <w:rsid w:val="007572B0"/>
    <w:rsid w:val="00760116"/>
    <w:rsid w:val="00760896"/>
    <w:rsid w:val="007630E0"/>
    <w:rsid w:val="00763271"/>
    <w:rsid w:val="00763739"/>
    <w:rsid w:val="007637B6"/>
    <w:rsid w:val="007638D5"/>
    <w:rsid w:val="00763B69"/>
    <w:rsid w:val="00763FDD"/>
    <w:rsid w:val="0076412A"/>
    <w:rsid w:val="00765656"/>
    <w:rsid w:val="00765780"/>
    <w:rsid w:val="007658C5"/>
    <w:rsid w:val="007659F0"/>
    <w:rsid w:val="00766B17"/>
    <w:rsid w:val="007670A5"/>
    <w:rsid w:val="00767647"/>
    <w:rsid w:val="007678B3"/>
    <w:rsid w:val="00767F44"/>
    <w:rsid w:val="00770222"/>
    <w:rsid w:val="00770CF7"/>
    <w:rsid w:val="00771A49"/>
    <w:rsid w:val="00771CA9"/>
    <w:rsid w:val="00771FF8"/>
    <w:rsid w:val="007722B6"/>
    <w:rsid w:val="00773599"/>
    <w:rsid w:val="007737D3"/>
    <w:rsid w:val="0077396C"/>
    <w:rsid w:val="00773E42"/>
    <w:rsid w:val="0077434B"/>
    <w:rsid w:val="007747A2"/>
    <w:rsid w:val="00775147"/>
    <w:rsid w:val="00775871"/>
    <w:rsid w:val="00775AFA"/>
    <w:rsid w:val="00775D1F"/>
    <w:rsid w:val="00776FBE"/>
    <w:rsid w:val="0077716C"/>
    <w:rsid w:val="007775DE"/>
    <w:rsid w:val="007800C8"/>
    <w:rsid w:val="007802C2"/>
    <w:rsid w:val="00780925"/>
    <w:rsid w:val="0078126E"/>
    <w:rsid w:val="0078148B"/>
    <w:rsid w:val="00781A95"/>
    <w:rsid w:val="00781DEA"/>
    <w:rsid w:val="00781DFD"/>
    <w:rsid w:val="00782549"/>
    <w:rsid w:val="007828ED"/>
    <w:rsid w:val="00782CC7"/>
    <w:rsid w:val="00782E12"/>
    <w:rsid w:val="0078359B"/>
    <w:rsid w:val="00783908"/>
    <w:rsid w:val="007846F9"/>
    <w:rsid w:val="00784AA7"/>
    <w:rsid w:val="00784B39"/>
    <w:rsid w:val="00784C42"/>
    <w:rsid w:val="00784D7D"/>
    <w:rsid w:val="007858E9"/>
    <w:rsid w:val="00785C05"/>
    <w:rsid w:val="0078631D"/>
    <w:rsid w:val="00787269"/>
    <w:rsid w:val="007900F1"/>
    <w:rsid w:val="00791270"/>
    <w:rsid w:val="00791609"/>
    <w:rsid w:val="00791B3E"/>
    <w:rsid w:val="00791BCF"/>
    <w:rsid w:val="007921F3"/>
    <w:rsid w:val="007930C2"/>
    <w:rsid w:val="007931E2"/>
    <w:rsid w:val="00793901"/>
    <w:rsid w:val="00794DFD"/>
    <w:rsid w:val="007952D9"/>
    <w:rsid w:val="00795AE4"/>
    <w:rsid w:val="00795C83"/>
    <w:rsid w:val="00795D34"/>
    <w:rsid w:val="00796051"/>
    <w:rsid w:val="007962E7"/>
    <w:rsid w:val="007965A7"/>
    <w:rsid w:val="00796BBF"/>
    <w:rsid w:val="00797190"/>
    <w:rsid w:val="0079754E"/>
    <w:rsid w:val="007975B8"/>
    <w:rsid w:val="00797804"/>
    <w:rsid w:val="00797B88"/>
    <w:rsid w:val="007A0B50"/>
    <w:rsid w:val="007A0E0D"/>
    <w:rsid w:val="007A1834"/>
    <w:rsid w:val="007A2B81"/>
    <w:rsid w:val="007A318A"/>
    <w:rsid w:val="007A3622"/>
    <w:rsid w:val="007A3A82"/>
    <w:rsid w:val="007A3EB8"/>
    <w:rsid w:val="007A4390"/>
    <w:rsid w:val="007A4480"/>
    <w:rsid w:val="007A5132"/>
    <w:rsid w:val="007A54C3"/>
    <w:rsid w:val="007A6162"/>
    <w:rsid w:val="007A6856"/>
    <w:rsid w:val="007A6D6A"/>
    <w:rsid w:val="007B002C"/>
    <w:rsid w:val="007B0C14"/>
    <w:rsid w:val="007B1729"/>
    <w:rsid w:val="007B1742"/>
    <w:rsid w:val="007B187B"/>
    <w:rsid w:val="007B311B"/>
    <w:rsid w:val="007B3433"/>
    <w:rsid w:val="007B3AA1"/>
    <w:rsid w:val="007B3CD4"/>
    <w:rsid w:val="007B442C"/>
    <w:rsid w:val="007B448F"/>
    <w:rsid w:val="007B45D3"/>
    <w:rsid w:val="007B4A75"/>
    <w:rsid w:val="007B506D"/>
    <w:rsid w:val="007B55F1"/>
    <w:rsid w:val="007B599F"/>
    <w:rsid w:val="007B5BAD"/>
    <w:rsid w:val="007B5D61"/>
    <w:rsid w:val="007B602C"/>
    <w:rsid w:val="007B6099"/>
    <w:rsid w:val="007B65AF"/>
    <w:rsid w:val="007B76E4"/>
    <w:rsid w:val="007B796A"/>
    <w:rsid w:val="007B7E02"/>
    <w:rsid w:val="007B7E6A"/>
    <w:rsid w:val="007C1012"/>
    <w:rsid w:val="007C119E"/>
    <w:rsid w:val="007C11AC"/>
    <w:rsid w:val="007C23FE"/>
    <w:rsid w:val="007C24F4"/>
    <w:rsid w:val="007C2DB1"/>
    <w:rsid w:val="007C3547"/>
    <w:rsid w:val="007C3589"/>
    <w:rsid w:val="007C372C"/>
    <w:rsid w:val="007C3731"/>
    <w:rsid w:val="007C4848"/>
    <w:rsid w:val="007C538A"/>
    <w:rsid w:val="007C53A3"/>
    <w:rsid w:val="007C5D28"/>
    <w:rsid w:val="007C6826"/>
    <w:rsid w:val="007C75C2"/>
    <w:rsid w:val="007C77A8"/>
    <w:rsid w:val="007C78D8"/>
    <w:rsid w:val="007C7F8A"/>
    <w:rsid w:val="007D057A"/>
    <w:rsid w:val="007D06D5"/>
    <w:rsid w:val="007D077C"/>
    <w:rsid w:val="007D0C65"/>
    <w:rsid w:val="007D1362"/>
    <w:rsid w:val="007D15E9"/>
    <w:rsid w:val="007D1C7E"/>
    <w:rsid w:val="007D243D"/>
    <w:rsid w:val="007D2CAB"/>
    <w:rsid w:val="007D3250"/>
    <w:rsid w:val="007D3480"/>
    <w:rsid w:val="007D3690"/>
    <w:rsid w:val="007D4395"/>
    <w:rsid w:val="007D4513"/>
    <w:rsid w:val="007D4816"/>
    <w:rsid w:val="007D5287"/>
    <w:rsid w:val="007D52AD"/>
    <w:rsid w:val="007D5B64"/>
    <w:rsid w:val="007D63F2"/>
    <w:rsid w:val="007D6869"/>
    <w:rsid w:val="007D6D42"/>
    <w:rsid w:val="007D6E6C"/>
    <w:rsid w:val="007D7115"/>
    <w:rsid w:val="007E01A0"/>
    <w:rsid w:val="007E06B8"/>
    <w:rsid w:val="007E07CE"/>
    <w:rsid w:val="007E1317"/>
    <w:rsid w:val="007E1801"/>
    <w:rsid w:val="007E1BA7"/>
    <w:rsid w:val="007E1D96"/>
    <w:rsid w:val="007E1EB2"/>
    <w:rsid w:val="007E1EF3"/>
    <w:rsid w:val="007E1EFB"/>
    <w:rsid w:val="007E2A0C"/>
    <w:rsid w:val="007E2C3A"/>
    <w:rsid w:val="007E3A09"/>
    <w:rsid w:val="007E3DE0"/>
    <w:rsid w:val="007E4302"/>
    <w:rsid w:val="007E4349"/>
    <w:rsid w:val="007E4C75"/>
    <w:rsid w:val="007E58FC"/>
    <w:rsid w:val="007E5910"/>
    <w:rsid w:val="007E62C3"/>
    <w:rsid w:val="007E7263"/>
    <w:rsid w:val="007E732B"/>
    <w:rsid w:val="007E75D0"/>
    <w:rsid w:val="007E7E01"/>
    <w:rsid w:val="007F00BB"/>
    <w:rsid w:val="007F01F2"/>
    <w:rsid w:val="007F0BA2"/>
    <w:rsid w:val="007F0C35"/>
    <w:rsid w:val="007F120E"/>
    <w:rsid w:val="007F1210"/>
    <w:rsid w:val="007F19E0"/>
    <w:rsid w:val="007F1F3C"/>
    <w:rsid w:val="007F2134"/>
    <w:rsid w:val="007F2BAD"/>
    <w:rsid w:val="007F2FA3"/>
    <w:rsid w:val="007F344E"/>
    <w:rsid w:val="007F3B9C"/>
    <w:rsid w:val="007F4174"/>
    <w:rsid w:val="007F4195"/>
    <w:rsid w:val="007F4C19"/>
    <w:rsid w:val="007F4D5D"/>
    <w:rsid w:val="007F4EDD"/>
    <w:rsid w:val="007F53DC"/>
    <w:rsid w:val="007F6249"/>
    <w:rsid w:val="007F64D4"/>
    <w:rsid w:val="007F676D"/>
    <w:rsid w:val="007F71F4"/>
    <w:rsid w:val="007F7A41"/>
    <w:rsid w:val="007F7CE0"/>
    <w:rsid w:val="007F7F62"/>
    <w:rsid w:val="0080048C"/>
    <w:rsid w:val="00800827"/>
    <w:rsid w:val="00800B55"/>
    <w:rsid w:val="00803788"/>
    <w:rsid w:val="008037B6"/>
    <w:rsid w:val="00803AD5"/>
    <w:rsid w:val="0080405B"/>
    <w:rsid w:val="0080442C"/>
    <w:rsid w:val="008046A6"/>
    <w:rsid w:val="008047BA"/>
    <w:rsid w:val="00804E00"/>
    <w:rsid w:val="00804E9C"/>
    <w:rsid w:val="00805131"/>
    <w:rsid w:val="00805847"/>
    <w:rsid w:val="00805929"/>
    <w:rsid w:val="00806492"/>
    <w:rsid w:val="00807313"/>
    <w:rsid w:val="0080734B"/>
    <w:rsid w:val="008078A6"/>
    <w:rsid w:val="00807919"/>
    <w:rsid w:val="0081021B"/>
    <w:rsid w:val="008105C6"/>
    <w:rsid w:val="00810687"/>
    <w:rsid w:val="00810B1C"/>
    <w:rsid w:val="008116C5"/>
    <w:rsid w:val="008127CF"/>
    <w:rsid w:val="00812F46"/>
    <w:rsid w:val="00814252"/>
    <w:rsid w:val="00814558"/>
    <w:rsid w:val="008145DA"/>
    <w:rsid w:val="0081553A"/>
    <w:rsid w:val="008155A5"/>
    <w:rsid w:val="0081665E"/>
    <w:rsid w:val="0081695A"/>
    <w:rsid w:val="00817001"/>
    <w:rsid w:val="00817648"/>
    <w:rsid w:val="00817DB6"/>
    <w:rsid w:val="00817F4A"/>
    <w:rsid w:val="0082044F"/>
    <w:rsid w:val="00820B3C"/>
    <w:rsid w:val="008210ED"/>
    <w:rsid w:val="00821551"/>
    <w:rsid w:val="00822085"/>
    <w:rsid w:val="00822235"/>
    <w:rsid w:val="0082370E"/>
    <w:rsid w:val="00823B56"/>
    <w:rsid w:val="00823D46"/>
    <w:rsid w:val="00824263"/>
    <w:rsid w:val="0082444C"/>
    <w:rsid w:val="00824775"/>
    <w:rsid w:val="00826BFB"/>
    <w:rsid w:val="00826ED6"/>
    <w:rsid w:val="008274F5"/>
    <w:rsid w:val="008275D9"/>
    <w:rsid w:val="00827B3B"/>
    <w:rsid w:val="00827C06"/>
    <w:rsid w:val="00830005"/>
    <w:rsid w:val="00830376"/>
    <w:rsid w:val="00831AF1"/>
    <w:rsid w:val="00831DDA"/>
    <w:rsid w:val="008322DC"/>
    <w:rsid w:val="0083237A"/>
    <w:rsid w:val="008329AE"/>
    <w:rsid w:val="00833478"/>
    <w:rsid w:val="00833599"/>
    <w:rsid w:val="00833D33"/>
    <w:rsid w:val="00833EB0"/>
    <w:rsid w:val="008346CE"/>
    <w:rsid w:val="00835D57"/>
    <w:rsid w:val="00835F56"/>
    <w:rsid w:val="00836403"/>
    <w:rsid w:val="008366F1"/>
    <w:rsid w:val="00836C32"/>
    <w:rsid w:val="00837C76"/>
    <w:rsid w:val="00837C85"/>
    <w:rsid w:val="00837F46"/>
    <w:rsid w:val="00840388"/>
    <w:rsid w:val="008407AF"/>
    <w:rsid w:val="00840C36"/>
    <w:rsid w:val="00840C8A"/>
    <w:rsid w:val="00841CDF"/>
    <w:rsid w:val="008429A0"/>
    <w:rsid w:val="00843055"/>
    <w:rsid w:val="00843508"/>
    <w:rsid w:val="008438EE"/>
    <w:rsid w:val="00843D66"/>
    <w:rsid w:val="00844026"/>
    <w:rsid w:val="00844040"/>
    <w:rsid w:val="0084465E"/>
    <w:rsid w:val="00844FC4"/>
    <w:rsid w:val="0084553E"/>
    <w:rsid w:val="00845B83"/>
    <w:rsid w:val="00845DE7"/>
    <w:rsid w:val="008462F6"/>
    <w:rsid w:val="00846376"/>
    <w:rsid w:val="00847DB6"/>
    <w:rsid w:val="00847E23"/>
    <w:rsid w:val="00847ED2"/>
    <w:rsid w:val="00850BB0"/>
    <w:rsid w:val="00851101"/>
    <w:rsid w:val="0085115F"/>
    <w:rsid w:val="008513B7"/>
    <w:rsid w:val="00851D1C"/>
    <w:rsid w:val="00852251"/>
    <w:rsid w:val="00852426"/>
    <w:rsid w:val="00852553"/>
    <w:rsid w:val="00852A69"/>
    <w:rsid w:val="00853142"/>
    <w:rsid w:val="0085335E"/>
    <w:rsid w:val="00853E58"/>
    <w:rsid w:val="00853FA9"/>
    <w:rsid w:val="0085447F"/>
    <w:rsid w:val="00854A08"/>
    <w:rsid w:val="00854BD4"/>
    <w:rsid w:val="00854C84"/>
    <w:rsid w:val="00854F79"/>
    <w:rsid w:val="00854FCA"/>
    <w:rsid w:val="008550EF"/>
    <w:rsid w:val="00855903"/>
    <w:rsid w:val="008563A4"/>
    <w:rsid w:val="008567B6"/>
    <w:rsid w:val="00857470"/>
    <w:rsid w:val="00857AE1"/>
    <w:rsid w:val="00857B47"/>
    <w:rsid w:val="00857D5E"/>
    <w:rsid w:val="00860391"/>
    <w:rsid w:val="00860625"/>
    <w:rsid w:val="00860950"/>
    <w:rsid w:val="00860FC2"/>
    <w:rsid w:val="00861507"/>
    <w:rsid w:val="0086177B"/>
    <w:rsid w:val="00861AAE"/>
    <w:rsid w:val="00861F8A"/>
    <w:rsid w:val="0086236B"/>
    <w:rsid w:val="0086247E"/>
    <w:rsid w:val="008630C2"/>
    <w:rsid w:val="008639F0"/>
    <w:rsid w:val="00864463"/>
    <w:rsid w:val="00864476"/>
    <w:rsid w:val="00864478"/>
    <w:rsid w:val="00864568"/>
    <w:rsid w:val="008645ED"/>
    <w:rsid w:val="00864AFE"/>
    <w:rsid w:val="00864D3E"/>
    <w:rsid w:val="008652D1"/>
    <w:rsid w:val="00865429"/>
    <w:rsid w:val="008655B6"/>
    <w:rsid w:val="0086569D"/>
    <w:rsid w:val="00865E24"/>
    <w:rsid w:val="008664C4"/>
    <w:rsid w:val="008669C3"/>
    <w:rsid w:val="008670B8"/>
    <w:rsid w:val="00870227"/>
    <w:rsid w:val="00870374"/>
    <w:rsid w:val="00870653"/>
    <w:rsid w:val="008708F6"/>
    <w:rsid w:val="00870BED"/>
    <w:rsid w:val="00870E48"/>
    <w:rsid w:val="008712B2"/>
    <w:rsid w:val="0087143D"/>
    <w:rsid w:val="00871D6A"/>
    <w:rsid w:val="00872095"/>
    <w:rsid w:val="00872685"/>
    <w:rsid w:val="008729B8"/>
    <w:rsid w:val="00872D16"/>
    <w:rsid w:val="0087383D"/>
    <w:rsid w:val="00873890"/>
    <w:rsid w:val="0087403C"/>
    <w:rsid w:val="008740C3"/>
    <w:rsid w:val="008744CC"/>
    <w:rsid w:val="008747D6"/>
    <w:rsid w:val="00874A22"/>
    <w:rsid w:val="00875125"/>
    <w:rsid w:val="00876A5B"/>
    <w:rsid w:val="00876C0C"/>
    <w:rsid w:val="0087761B"/>
    <w:rsid w:val="00877972"/>
    <w:rsid w:val="0088037F"/>
    <w:rsid w:val="00880649"/>
    <w:rsid w:val="00880EBB"/>
    <w:rsid w:val="008811E5"/>
    <w:rsid w:val="008812AC"/>
    <w:rsid w:val="008812CF"/>
    <w:rsid w:val="008817BF"/>
    <w:rsid w:val="0088222C"/>
    <w:rsid w:val="00882249"/>
    <w:rsid w:val="00882C61"/>
    <w:rsid w:val="00882E91"/>
    <w:rsid w:val="008837FF"/>
    <w:rsid w:val="00884488"/>
    <w:rsid w:val="00884763"/>
    <w:rsid w:val="00884ADE"/>
    <w:rsid w:val="00884C06"/>
    <w:rsid w:val="00884EE7"/>
    <w:rsid w:val="00886069"/>
    <w:rsid w:val="00886CC9"/>
    <w:rsid w:val="008870A5"/>
    <w:rsid w:val="0088794F"/>
    <w:rsid w:val="00887962"/>
    <w:rsid w:val="008879AE"/>
    <w:rsid w:val="0089006B"/>
    <w:rsid w:val="00890141"/>
    <w:rsid w:val="00890332"/>
    <w:rsid w:val="00890AE0"/>
    <w:rsid w:val="00890C44"/>
    <w:rsid w:val="008915EF"/>
    <w:rsid w:val="008916DC"/>
    <w:rsid w:val="00891FC4"/>
    <w:rsid w:val="008920EE"/>
    <w:rsid w:val="00892195"/>
    <w:rsid w:val="00892662"/>
    <w:rsid w:val="008928CD"/>
    <w:rsid w:val="00893290"/>
    <w:rsid w:val="00893A09"/>
    <w:rsid w:val="00893B7F"/>
    <w:rsid w:val="00893CE6"/>
    <w:rsid w:val="008944B3"/>
    <w:rsid w:val="008953BD"/>
    <w:rsid w:val="00895EE1"/>
    <w:rsid w:val="00896396"/>
    <w:rsid w:val="008969EB"/>
    <w:rsid w:val="00896BAD"/>
    <w:rsid w:val="00896C5E"/>
    <w:rsid w:val="00897074"/>
    <w:rsid w:val="00897852"/>
    <w:rsid w:val="00897F86"/>
    <w:rsid w:val="008A0886"/>
    <w:rsid w:val="008A0BC5"/>
    <w:rsid w:val="008A0FDA"/>
    <w:rsid w:val="008A1356"/>
    <w:rsid w:val="008A1445"/>
    <w:rsid w:val="008A20BA"/>
    <w:rsid w:val="008A23A3"/>
    <w:rsid w:val="008A2C4A"/>
    <w:rsid w:val="008A3720"/>
    <w:rsid w:val="008A3BBF"/>
    <w:rsid w:val="008A4033"/>
    <w:rsid w:val="008A4BAB"/>
    <w:rsid w:val="008A501C"/>
    <w:rsid w:val="008A5EFB"/>
    <w:rsid w:val="008A6B8E"/>
    <w:rsid w:val="008A6CDE"/>
    <w:rsid w:val="008A6F52"/>
    <w:rsid w:val="008A7297"/>
    <w:rsid w:val="008A7D02"/>
    <w:rsid w:val="008A7FBC"/>
    <w:rsid w:val="008B0F41"/>
    <w:rsid w:val="008B1505"/>
    <w:rsid w:val="008B1D9A"/>
    <w:rsid w:val="008B231D"/>
    <w:rsid w:val="008B2D6F"/>
    <w:rsid w:val="008B2E11"/>
    <w:rsid w:val="008B317E"/>
    <w:rsid w:val="008B31E3"/>
    <w:rsid w:val="008B3498"/>
    <w:rsid w:val="008B372E"/>
    <w:rsid w:val="008B3B31"/>
    <w:rsid w:val="008B3D8D"/>
    <w:rsid w:val="008B3E92"/>
    <w:rsid w:val="008B52F3"/>
    <w:rsid w:val="008B5697"/>
    <w:rsid w:val="008B75B0"/>
    <w:rsid w:val="008B76AE"/>
    <w:rsid w:val="008B7775"/>
    <w:rsid w:val="008B7D47"/>
    <w:rsid w:val="008C019A"/>
    <w:rsid w:val="008C0482"/>
    <w:rsid w:val="008C0A65"/>
    <w:rsid w:val="008C1294"/>
    <w:rsid w:val="008C12F8"/>
    <w:rsid w:val="008C142B"/>
    <w:rsid w:val="008C15A3"/>
    <w:rsid w:val="008C1761"/>
    <w:rsid w:val="008C192C"/>
    <w:rsid w:val="008C1A50"/>
    <w:rsid w:val="008C2105"/>
    <w:rsid w:val="008C2ACB"/>
    <w:rsid w:val="008C36E7"/>
    <w:rsid w:val="008C380E"/>
    <w:rsid w:val="008C4B47"/>
    <w:rsid w:val="008C4EA7"/>
    <w:rsid w:val="008C4FA4"/>
    <w:rsid w:val="008C55AF"/>
    <w:rsid w:val="008C5E5F"/>
    <w:rsid w:val="008C60B2"/>
    <w:rsid w:val="008C64D6"/>
    <w:rsid w:val="008C6651"/>
    <w:rsid w:val="008C671B"/>
    <w:rsid w:val="008C6D29"/>
    <w:rsid w:val="008C7AD8"/>
    <w:rsid w:val="008D1012"/>
    <w:rsid w:val="008D110F"/>
    <w:rsid w:val="008D1820"/>
    <w:rsid w:val="008D1D77"/>
    <w:rsid w:val="008D2616"/>
    <w:rsid w:val="008D2D50"/>
    <w:rsid w:val="008D3045"/>
    <w:rsid w:val="008D44B9"/>
    <w:rsid w:val="008D45A2"/>
    <w:rsid w:val="008D4AEA"/>
    <w:rsid w:val="008D4F2D"/>
    <w:rsid w:val="008D5064"/>
    <w:rsid w:val="008D65AC"/>
    <w:rsid w:val="008D755C"/>
    <w:rsid w:val="008D7CF3"/>
    <w:rsid w:val="008D7DB8"/>
    <w:rsid w:val="008E0C7C"/>
    <w:rsid w:val="008E0DA6"/>
    <w:rsid w:val="008E0E03"/>
    <w:rsid w:val="008E127F"/>
    <w:rsid w:val="008E15C7"/>
    <w:rsid w:val="008E1C3A"/>
    <w:rsid w:val="008E288A"/>
    <w:rsid w:val="008E2AB6"/>
    <w:rsid w:val="008E2BB3"/>
    <w:rsid w:val="008E388E"/>
    <w:rsid w:val="008E39F6"/>
    <w:rsid w:val="008E4C62"/>
    <w:rsid w:val="008E5F00"/>
    <w:rsid w:val="008E5FD7"/>
    <w:rsid w:val="008E6151"/>
    <w:rsid w:val="008E62AD"/>
    <w:rsid w:val="008E66E9"/>
    <w:rsid w:val="008E6B67"/>
    <w:rsid w:val="008E6D91"/>
    <w:rsid w:val="008E74B5"/>
    <w:rsid w:val="008E7540"/>
    <w:rsid w:val="008E75AE"/>
    <w:rsid w:val="008F056E"/>
    <w:rsid w:val="008F1DE9"/>
    <w:rsid w:val="008F1EBD"/>
    <w:rsid w:val="008F2112"/>
    <w:rsid w:val="008F2336"/>
    <w:rsid w:val="008F25B7"/>
    <w:rsid w:val="008F2E6C"/>
    <w:rsid w:val="008F3095"/>
    <w:rsid w:val="008F31C6"/>
    <w:rsid w:val="008F3C29"/>
    <w:rsid w:val="008F405D"/>
    <w:rsid w:val="008F4DB2"/>
    <w:rsid w:val="008F4ECC"/>
    <w:rsid w:val="008F4FA6"/>
    <w:rsid w:val="008F5D5C"/>
    <w:rsid w:val="008F6608"/>
    <w:rsid w:val="008F7212"/>
    <w:rsid w:val="009002A9"/>
    <w:rsid w:val="0090035A"/>
    <w:rsid w:val="00900E2E"/>
    <w:rsid w:val="0090161B"/>
    <w:rsid w:val="009017BE"/>
    <w:rsid w:val="00901BDF"/>
    <w:rsid w:val="009022B9"/>
    <w:rsid w:val="009022E0"/>
    <w:rsid w:val="009022EB"/>
    <w:rsid w:val="0090238F"/>
    <w:rsid w:val="00902F68"/>
    <w:rsid w:val="00902FF1"/>
    <w:rsid w:val="0090336B"/>
    <w:rsid w:val="00903A69"/>
    <w:rsid w:val="00904394"/>
    <w:rsid w:val="00904607"/>
    <w:rsid w:val="0090489C"/>
    <w:rsid w:val="009049C1"/>
    <w:rsid w:val="00904C3C"/>
    <w:rsid w:val="009055EF"/>
    <w:rsid w:val="009058F7"/>
    <w:rsid w:val="00905987"/>
    <w:rsid w:val="00905B41"/>
    <w:rsid w:val="009064A7"/>
    <w:rsid w:val="0090650B"/>
    <w:rsid w:val="0090685A"/>
    <w:rsid w:val="009068BB"/>
    <w:rsid w:val="00906DEF"/>
    <w:rsid w:val="0090743A"/>
    <w:rsid w:val="009075D7"/>
    <w:rsid w:val="00907B50"/>
    <w:rsid w:val="00907CEA"/>
    <w:rsid w:val="00907CEE"/>
    <w:rsid w:val="00910233"/>
    <w:rsid w:val="009109D4"/>
    <w:rsid w:val="00910E9A"/>
    <w:rsid w:val="009117F0"/>
    <w:rsid w:val="0091191F"/>
    <w:rsid w:val="00911A88"/>
    <w:rsid w:val="00912FE2"/>
    <w:rsid w:val="009130BC"/>
    <w:rsid w:val="00913781"/>
    <w:rsid w:val="0091389E"/>
    <w:rsid w:val="0091427D"/>
    <w:rsid w:val="009148B8"/>
    <w:rsid w:val="00914CFE"/>
    <w:rsid w:val="0091572A"/>
    <w:rsid w:val="00915AE9"/>
    <w:rsid w:val="00915B34"/>
    <w:rsid w:val="00915D0E"/>
    <w:rsid w:val="009162BE"/>
    <w:rsid w:val="009163CE"/>
    <w:rsid w:val="00916BC1"/>
    <w:rsid w:val="0091744D"/>
    <w:rsid w:val="009178E3"/>
    <w:rsid w:val="00917B2F"/>
    <w:rsid w:val="00917E6C"/>
    <w:rsid w:val="00920421"/>
    <w:rsid w:val="0092055B"/>
    <w:rsid w:val="009209F3"/>
    <w:rsid w:val="00920AE9"/>
    <w:rsid w:val="00920D3C"/>
    <w:rsid w:val="00920EE5"/>
    <w:rsid w:val="009216BA"/>
    <w:rsid w:val="00921EFB"/>
    <w:rsid w:val="00921F5C"/>
    <w:rsid w:val="0092242C"/>
    <w:rsid w:val="00922739"/>
    <w:rsid w:val="00922D86"/>
    <w:rsid w:val="00922E8E"/>
    <w:rsid w:val="0092311C"/>
    <w:rsid w:val="00923283"/>
    <w:rsid w:val="009238D6"/>
    <w:rsid w:val="00923A6B"/>
    <w:rsid w:val="00924248"/>
    <w:rsid w:val="009246B5"/>
    <w:rsid w:val="00925166"/>
    <w:rsid w:val="0092546E"/>
    <w:rsid w:val="0092576C"/>
    <w:rsid w:val="0092620B"/>
    <w:rsid w:val="009264E0"/>
    <w:rsid w:val="00926A6C"/>
    <w:rsid w:val="00926F4D"/>
    <w:rsid w:val="009276E8"/>
    <w:rsid w:val="00927769"/>
    <w:rsid w:val="00927BA6"/>
    <w:rsid w:val="00927C00"/>
    <w:rsid w:val="00930081"/>
    <w:rsid w:val="00930364"/>
    <w:rsid w:val="009307AA"/>
    <w:rsid w:val="009308B0"/>
    <w:rsid w:val="00931351"/>
    <w:rsid w:val="0093282D"/>
    <w:rsid w:val="00932FF3"/>
    <w:rsid w:val="009333C0"/>
    <w:rsid w:val="00933F78"/>
    <w:rsid w:val="009342D1"/>
    <w:rsid w:val="0093447C"/>
    <w:rsid w:val="00934658"/>
    <w:rsid w:val="0093480C"/>
    <w:rsid w:val="00934A87"/>
    <w:rsid w:val="00934B7A"/>
    <w:rsid w:val="0093510E"/>
    <w:rsid w:val="00935FE4"/>
    <w:rsid w:val="00936077"/>
    <w:rsid w:val="0093621B"/>
    <w:rsid w:val="009369C7"/>
    <w:rsid w:val="00936BBB"/>
    <w:rsid w:val="00936EE0"/>
    <w:rsid w:val="00937188"/>
    <w:rsid w:val="009376E3"/>
    <w:rsid w:val="00937829"/>
    <w:rsid w:val="009400F6"/>
    <w:rsid w:val="00940105"/>
    <w:rsid w:val="00940695"/>
    <w:rsid w:val="0094161E"/>
    <w:rsid w:val="009419E2"/>
    <w:rsid w:val="00941AD6"/>
    <w:rsid w:val="00941F32"/>
    <w:rsid w:val="009421C7"/>
    <w:rsid w:val="009424B8"/>
    <w:rsid w:val="009429B8"/>
    <w:rsid w:val="00942DF5"/>
    <w:rsid w:val="00942EDB"/>
    <w:rsid w:val="009433C3"/>
    <w:rsid w:val="0094505C"/>
    <w:rsid w:val="00945140"/>
    <w:rsid w:val="0094619B"/>
    <w:rsid w:val="00946D9D"/>
    <w:rsid w:val="0094705B"/>
    <w:rsid w:val="00947184"/>
    <w:rsid w:val="0094723A"/>
    <w:rsid w:val="00947A34"/>
    <w:rsid w:val="00947B97"/>
    <w:rsid w:val="00947C26"/>
    <w:rsid w:val="00947ED9"/>
    <w:rsid w:val="00947F14"/>
    <w:rsid w:val="009505D7"/>
    <w:rsid w:val="00950655"/>
    <w:rsid w:val="00950867"/>
    <w:rsid w:val="00951CBD"/>
    <w:rsid w:val="0095238D"/>
    <w:rsid w:val="00953030"/>
    <w:rsid w:val="0095530E"/>
    <w:rsid w:val="00955507"/>
    <w:rsid w:val="0095595C"/>
    <w:rsid w:val="00955D0C"/>
    <w:rsid w:val="00956045"/>
    <w:rsid w:val="00956310"/>
    <w:rsid w:val="009566CD"/>
    <w:rsid w:val="00956771"/>
    <w:rsid w:val="00956801"/>
    <w:rsid w:val="0095726A"/>
    <w:rsid w:val="0095770B"/>
    <w:rsid w:val="009604DC"/>
    <w:rsid w:val="00960A24"/>
    <w:rsid w:val="0096195F"/>
    <w:rsid w:val="00961AEB"/>
    <w:rsid w:val="00961F18"/>
    <w:rsid w:val="009624EE"/>
    <w:rsid w:val="0096310A"/>
    <w:rsid w:val="0096314D"/>
    <w:rsid w:val="0096318F"/>
    <w:rsid w:val="00963B44"/>
    <w:rsid w:val="00963ED0"/>
    <w:rsid w:val="009647C3"/>
    <w:rsid w:val="009648D1"/>
    <w:rsid w:val="00964B27"/>
    <w:rsid w:val="0096512E"/>
    <w:rsid w:val="0096591F"/>
    <w:rsid w:val="0096638A"/>
    <w:rsid w:val="00966A01"/>
    <w:rsid w:val="00966B9C"/>
    <w:rsid w:val="00966CE9"/>
    <w:rsid w:val="00967132"/>
    <w:rsid w:val="00967150"/>
    <w:rsid w:val="0096736A"/>
    <w:rsid w:val="00967CDB"/>
    <w:rsid w:val="00967E6D"/>
    <w:rsid w:val="00970AFE"/>
    <w:rsid w:val="00971089"/>
    <w:rsid w:val="00972366"/>
    <w:rsid w:val="00973C0B"/>
    <w:rsid w:val="009742A4"/>
    <w:rsid w:val="00974A8E"/>
    <w:rsid w:val="009754E3"/>
    <w:rsid w:val="00975861"/>
    <w:rsid w:val="00975983"/>
    <w:rsid w:val="00975DC2"/>
    <w:rsid w:val="00976253"/>
    <w:rsid w:val="00976547"/>
    <w:rsid w:val="0097654D"/>
    <w:rsid w:val="009766E5"/>
    <w:rsid w:val="009768C3"/>
    <w:rsid w:val="009769CF"/>
    <w:rsid w:val="00976B76"/>
    <w:rsid w:val="00976F42"/>
    <w:rsid w:val="00976FDF"/>
    <w:rsid w:val="009775BD"/>
    <w:rsid w:val="00977899"/>
    <w:rsid w:val="00980448"/>
    <w:rsid w:val="00980458"/>
    <w:rsid w:val="00980BC7"/>
    <w:rsid w:val="0098199B"/>
    <w:rsid w:val="00981A15"/>
    <w:rsid w:val="009821FE"/>
    <w:rsid w:val="0098314B"/>
    <w:rsid w:val="00983A69"/>
    <w:rsid w:val="0098464C"/>
    <w:rsid w:val="00985633"/>
    <w:rsid w:val="00985876"/>
    <w:rsid w:val="00985C16"/>
    <w:rsid w:val="009864C5"/>
    <w:rsid w:val="009866BC"/>
    <w:rsid w:val="00986C03"/>
    <w:rsid w:val="00986CBA"/>
    <w:rsid w:val="009875A6"/>
    <w:rsid w:val="00987892"/>
    <w:rsid w:val="009900C2"/>
    <w:rsid w:val="00990F4B"/>
    <w:rsid w:val="00991544"/>
    <w:rsid w:val="00991682"/>
    <w:rsid w:val="009916C9"/>
    <w:rsid w:val="00991E61"/>
    <w:rsid w:val="00993182"/>
    <w:rsid w:val="00993D44"/>
    <w:rsid w:val="0099431C"/>
    <w:rsid w:val="0099447C"/>
    <w:rsid w:val="0099475E"/>
    <w:rsid w:val="00994776"/>
    <w:rsid w:val="00994CEE"/>
    <w:rsid w:val="00995121"/>
    <w:rsid w:val="00995500"/>
    <w:rsid w:val="009957E6"/>
    <w:rsid w:val="00995A32"/>
    <w:rsid w:val="00996548"/>
    <w:rsid w:val="00996B37"/>
    <w:rsid w:val="0099734F"/>
    <w:rsid w:val="00997657"/>
    <w:rsid w:val="009979DD"/>
    <w:rsid w:val="00997EBE"/>
    <w:rsid w:val="009A07E9"/>
    <w:rsid w:val="009A08ED"/>
    <w:rsid w:val="009A0AC8"/>
    <w:rsid w:val="009A114A"/>
    <w:rsid w:val="009A128E"/>
    <w:rsid w:val="009A1F29"/>
    <w:rsid w:val="009A2CB5"/>
    <w:rsid w:val="009A2E9B"/>
    <w:rsid w:val="009A3404"/>
    <w:rsid w:val="009A3499"/>
    <w:rsid w:val="009A3F62"/>
    <w:rsid w:val="009A4034"/>
    <w:rsid w:val="009A4224"/>
    <w:rsid w:val="009A44FA"/>
    <w:rsid w:val="009A46DA"/>
    <w:rsid w:val="009A4D7A"/>
    <w:rsid w:val="009A523B"/>
    <w:rsid w:val="009A5999"/>
    <w:rsid w:val="009A6123"/>
    <w:rsid w:val="009A672C"/>
    <w:rsid w:val="009A7613"/>
    <w:rsid w:val="009A7E71"/>
    <w:rsid w:val="009A7FD9"/>
    <w:rsid w:val="009B04CE"/>
    <w:rsid w:val="009B13B0"/>
    <w:rsid w:val="009B1BBC"/>
    <w:rsid w:val="009B26A7"/>
    <w:rsid w:val="009B294E"/>
    <w:rsid w:val="009B2DCA"/>
    <w:rsid w:val="009B2ED3"/>
    <w:rsid w:val="009B308C"/>
    <w:rsid w:val="009B335B"/>
    <w:rsid w:val="009B3775"/>
    <w:rsid w:val="009B3DEA"/>
    <w:rsid w:val="009B425C"/>
    <w:rsid w:val="009B469F"/>
    <w:rsid w:val="009B519D"/>
    <w:rsid w:val="009B5211"/>
    <w:rsid w:val="009B547C"/>
    <w:rsid w:val="009B5C51"/>
    <w:rsid w:val="009B64F8"/>
    <w:rsid w:val="009B68D7"/>
    <w:rsid w:val="009B7173"/>
    <w:rsid w:val="009B7331"/>
    <w:rsid w:val="009B73E4"/>
    <w:rsid w:val="009B749A"/>
    <w:rsid w:val="009B762A"/>
    <w:rsid w:val="009B7D25"/>
    <w:rsid w:val="009B7DB5"/>
    <w:rsid w:val="009B7ED9"/>
    <w:rsid w:val="009C0401"/>
    <w:rsid w:val="009C045A"/>
    <w:rsid w:val="009C0525"/>
    <w:rsid w:val="009C05C9"/>
    <w:rsid w:val="009C0AA2"/>
    <w:rsid w:val="009C0BC7"/>
    <w:rsid w:val="009C103C"/>
    <w:rsid w:val="009C14A9"/>
    <w:rsid w:val="009C1596"/>
    <w:rsid w:val="009C1E28"/>
    <w:rsid w:val="009C1E32"/>
    <w:rsid w:val="009C2537"/>
    <w:rsid w:val="009C25BF"/>
    <w:rsid w:val="009C2704"/>
    <w:rsid w:val="009C307A"/>
    <w:rsid w:val="009C339A"/>
    <w:rsid w:val="009C3812"/>
    <w:rsid w:val="009C39D8"/>
    <w:rsid w:val="009C41E1"/>
    <w:rsid w:val="009C4300"/>
    <w:rsid w:val="009C45D3"/>
    <w:rsid w:val="009C4D4F"/>
    <w:rsid w:val="009C56E7"/>
    <w:rsid w:val="009C5B3D"/>
    <w:rsid w:val="009C5B45"/>
    <w:rsid w:val="009C5B84"/>
    <w:rsid w:val="009C64E8"/>
    <w:rsid w:val="009C670F"/>
    <w:rsid w:val="009C6A50"/>
    <w:rsid w:val="009C74EA"/>
    <w:rsid w:val="009C7774"/>
    <w:rsid w:val="009C7984"/>
    <w:rsid w:val="009D09A8"/>
    <w:rsid w:val="009D0E08"/>
    <w:rsid w:val="009D0EE3"/>
    <w:rsid w:val="009D18B9"/>
    <w:rsid w:val="009D25B1"/>
    <w:rsid w:val="009D2A3B"/>
    <w:rsid w:val="009D2E5E"/>
    <w:rsid w:val="009D3190"/>
    <w:rsid w:val="009D3449"/>
    <w:rsid w:val="009D3813"/>
    <w:rsid w:val="009D3956"/>
    <w:rsid w:val="009D39E5"/>
    <w:rsid w:val="009D3ADF"/>
    <w:rsid w:val="009D40AB"/>
    <w:rsid w:val="009D4193"/>
    <w:rsid w:val="009D46F2"/>
    <w:rsid w:val="009D4B77"/>
    <w:rsid w:val="009D6589"/>
    <w:rsid w:val="009D667B"/>
    <w:rsid w:val="009D66D5"/>
    <w:rsid w:val="009D722A"/>
    <w:rsid w:val="009D76FD"/>
    <w:rsid w:val="009E01B7"/>
    <w:rsid w:val="009E1F49"/>
    <w:rsid w:val="009E241B"/>
    <w:rsid w:val="009E2644"/>
    <w:rsid w:val="009E2C40"/>
    <w:rsid w:val="009E340B"/>
    <w:rsid w:val="009E3F71"/>
    <w:rsid w:val="009E4468"/>
    <w:rsid w:val="009E44CA"/>
    <w:rsid w:val="009E4981"/>
    <w:rsid w:val="009E552D"/>
    <w:rsid w:val="009E58D6"/>
    <w:rsid w:val="009E5AA4"/>
    <w:rsid w:val="009E6429"/>
    <w:rsid w:val="009E691A"/>
    <w:rsid w:val="009E71BB"/>
    <w:rsid w:val="009E7F01"/>
    <w:rsid w:val="009F0419"/>
    <w:rsid w:val="009F0AAF"/>
    <w:rsid w:val="009F0B77"/>
    <w:rsid w:val="009F0CD1"/>
    <w:rsid w:val="009F19EF"/>
    <w:rsid w:val="009F239C"/>
    <w:rsid w:val="009F2845"/>
    <w:rsid w:val="009F2B01"/>
    <w:rsid w:val="009F2D5F"/>
    <w:rsid w:val="009F3043"/>
    <w:rsid w:val="009F3243"/>
    <w:rsid w:val="009F37E0"/>
    <w:rsid w:val="009F38D6"/>
    <w:rsid w:val="009F3C97"/>
    <w:rsid w:val="009F3CA0"/>
    <w:rsid w:val="009F42AA"/>
    <w:rsid w:val="009F472B"/>
    <w:rsid w:val="009F4DC5"/>
    <w:rsid w:val="009F4E35"/>
    <w:rsid w:val="009F5459"/>
    <w:rsid w:val="009F5610"/>
    <w:rsid w:val="009F56F4"/>
    <w:rsid w:val="009F5B00"/>
    <w:rsid w:val="009F5E37"/>
    <w:rsid w:val="009F6F73"/>
    <w:rsid w:val="009F75D5"/>
    <w:rsid w:val="009F784B"/>
    <w:rsid w:val="009F797F"/>
    <w:rsid w:val="009F79F6"/>
    <w:rsid w:val="009F7B52"/>
    <w:rsid w:val="009F7C0E"/>
    <w:rsid w:val="009F7CF0"/>
    <w:rsid w:val="00A00005"/>
    <w:rsid w:val="00A00290"/>
    <w:rsid w:val="00A01155"/>
    <w:rsid w:val="00A01751"/>
    <w:rsid w:val="00A018BA"/>
    <w:rsid w:val="00A019AB"/>
    <w:rsid w:val="00A01EA3"/>
    <w:rsid w:val="00A021F0"/>
    <w:rsid w:val="00A024C9"/>
    <w:rsid w:val="00A02B54"/>
    <w:rsid w:val="00A03CE7"/>
    <w:rsid w:val="00A03EA6"/>
    <w:rsid w:val="00A047D4"/>
    <w:rsid w:val="00A052B0"/>
    <w:rsid w:val="00A056CC"/>
    <w:rsid w:val="00A05EED"/>
    <w:rsid w:val="00A06123"/>
    <w:rsid w:val="00A063C4"/>
    <w:rsid w:val="00A06728"/>
    <w:rsid w:val="00A067F2"/>
    <w:rsid w:val="00A06A3E"/>
    <w:rsid w:val="00A073E3"/>
    <w:rsid w:val="00A07A02"/>
    <w:rsid w:val="00A07C6D"/>
    <w:rsid w:val="00A1028C"/>
    <w:rsid w:val="00A102F0"/>
    <w:rsid w:val="00A107C2"/>
    <w:rsid w:val="00A10BE1"/>
    <w:rsid w:val="00A10C23"/>
    <w:rsid w:val="00A10FE9"/>
    <w:rsid w:val="00A11022"/>
    <w:rsid w:val="00A1143A"/>
    <w:rsid w:val="00A114DB"/>
    <w:rsid w:val="00A12133"/>
    <w:rsid w:val="00A12C73"/>
    <w:rsid w:val="00A13291"/>
    <w:rsid w:val="00A1329E"/>
    <w:rsid w:val="00A132DE"/>
    <w:rsid w:val="00A13854"/>
    <w:rsid w:val="00A13C17"/>
    <w:rsid w:val="00A13E4F"/>
    <w:rsid w:val="00A14785"/>
    <w:rsid w:val="00A147D2"/>
    <w:rsid w:val="00A150B6"/>
    <w:rsid w:val="00A15931"/>
    <w:rsid w:val="00A1593C"/>
    <w:rsid w:val="00A159DB"/>
    <w:rsid w:val="00A15B37"/>
    <w:rsid w:val="00A15B54"/>
    <w:rsid w:val="00A15BA8"/>
    <w:rsid w:val="00A15C6F"/>
    <w:rsid w:val="00A15D04"/>
    <w:rsid w:val="00A16190"/>
    <w:rsid w:val="00A16BAA"/>
    <w:rsid w:val="00A173B5"/>
    <w:rsid w:val="00A210FA"/>
    <w:rsid w:val="00A2111D"/>
    <w:rsid w:val="00A21198"/>
    <w:rsid w:val="00A211B7"/>
    <w:rsid w:val="00A21280"/>
    <w:rsid w:val="00A2136D"/>
    <w:rsid w:val="00A220A9"/>
    <w:rsid w:val="00A22E7D"/>
    <w:rsid w:val="00A23328"/>
    <w:rsid w:val="00A23892"/>
    <w:rsid w:val="00A23908"/>
    <w:rsid w:val="00A23F39"/>
    <w:rsid w:val="00A23F73"/>
    <w:rsid w:val="00A24100"/>
    <w:rsid w:val="00A241A2"/>
    <w:rsid w:val="00A24231"/>
    <w:rsid w:val="00A2488E"/>
    <w:rsid w:val="00A24C9F"/>
    <w:rsid w:val="00A2579C"/>
    <w:rsid w:val="00A25840"/>
    <w:rsid w:val="00A25ECB"/>
    <w:rsid w:val="00A26868"/>
    <w:rsid w:val="00A26C00"/>
    <w:rsid w:val="00A26C33"/>
    <w:rsid w:val="00A27347"/>
    <w:rsid w:val="00A274C7"/>
    <w:rsid w:val="00A27D12"/>
    <w:rsid w:val="00A27D43"/>
    <w:rsid w:val="00A30022"/>
    <w:rsid w:val="00A3067E"/>
    <w:rsid w:val="00A30B2D"/>
    <w:rsid w:val="00A31108"/>
    <w:rsid w:val="00A315D7"/>
    <w:rsid w:val="00A31899"/>
    <w:rsid w:val="00A32051"/>
    <w:rsid w:val="00A32744"/>
    <w:rsid w:val="00A3318A"/>
    <w:rsid w:val="00A33208"/>
    <w:rsid w:val="00A33483"/>
    <w:rsid w:val="00A339A8"/>
    <w:rsid w:val="00A343C4"/>
    <w:rsid w:val="00A34B32"/>
    <w:rsid w:val="00A34F1C"/>
    <w:rsid w:val="00A350F9"/>
    <w:rsid w:val="00A35706"/>
    <w:rsid w:val="00A3582B"/>
    <w:rsid w:val="00A359CA"/>
    <w:rsid w:val="00A36408"/>
    <w:rsid w:val="00A3644A"/>
    <w:rsid w:val="00A36474"/>
    <w:rsid w:val="00A36907"/>
    <w:rsid w:val="00A37FFD"/>
    <w:rsid w:val="00A4005F"/>
    <w:rsid w:val="00A405A6"/>
    <w:rsid w:val="00A406CB"/>
    <w:rsid w:val="00A40D27"/>
    <w:rsid w:val="00A40E37"/>
    <w:rsid w:val="00A4125A"/>
    <w:rsid w:val="00A414A0"/>
    <w:rsid w:val="00A416FA"/>
    <w:rsid w:val="00A41B13"/>
    <w:rsid w:val="00A41EF9"/>
    <w:rsid w:val="00A425A3"/>
    <w:rsid w:val="00A42A30"/>
    <w:rsid w:val="00A437E0"/>
    <w:rsid w:val="00A445D4"/>
    <w:rsid w:val="00A456F8"/>
    <w:rsid w:val="00A45AD3"/>
    <w:rsid w:val="00A4619E"/>
    <w:rsid w:val="00A467F7"/>
    <w:rsid w:val="00A47169"/>
    <w:rsid w:val="00A4740B"/>
    <w:rsid w:val="00A47763"/>
    <w:rsid w:val="00A477C7"/>
    <w:rsid w:val="00A50672"/>
    <w:rsid w:val="00A51668"/>
    <w:rsid w:val="00A51F08"/>
    <w:rsid w:val="00A52037"/>
    <w:rsid w:val="00A52FC1"/>
    <w:rsid w:val="00A52FCF"/>
    <w:rsid w:val="00A532F7"/>
    <w:rsid w:val="00A540B4"/>
    <w:rsid w:val="00A55273"/>
    <w:rsid w:val="00A553D3"/>
    <w:rsid w:val="00A555A4"/>
    <w:rsid w:val="00A55DD1"/>
    <w:rsid w:val="00A5628F"/>
    <w:rsid w:val="00A566D7"/>
    <w:rsid w:val="00A56B9C"/>
    <w:rsid w:val="00A56C30"/>
    <w:rsid w:val="00A57148"/>
    <w:rsid w:val="00A5734C"/>
    <w:rsid w:val="00A573BA"/>
    <w:rsid w:val="00A57B75"/>
    <w:rsid w:val="00A60B5B"/>
    <w:rsid w:val="00A60C47"/>
    <w:rsid w:val="00A60DFB"/>
    <w:rsid w:val="00A61BCB"/>
    <w:rsid w:val="00A61C92"/>
    <w:rsid w:val="00A61DFF"/>
    <w:rsid w:val="00A61F23"/>
    <w:rsid w:val="00A62803"/>
    <w:rsid w:val="00A62A06"/>
    <w:rsid w:val="00A62FB3"/>
    <w:rsid w:val="00A63725"/>
    <w:rsid w:val="00A63F5C"/>
    <w:rsid w:val="00A642DB"/>
    <w:rsid w:val="00A64A37"/>
    <w:rsid w:val="00A64B3E"/>
    <w:rsid w:val="00A64EE3"/>
    <w:rsid w:val="00A6532E"/>
    <w:rsid w:val="00A65D90"/>
    <w:rsid w:val="00A66B57"/>
    <w:rsid w:val="00A67904"/>
    <w:rsid w:val="00A67B24"/>
    <w:rsid w:val="00A7025E"/>
    <w:rsid w:val="00A70708"/>
    <w:rsid w:val="00A70B07"/>
    <w:rsid w:val="00A70C89"/>
    <w:rsid w:val="00A71D96"/>
    <w:rsid w:val="00A71DE5"/>
    <w:rsid w:val="00A72445"/>
    <w:rsid w:val="00A72844"/>
    <w:rsid w:val="00A72ABE"/>
    <w:rsid w:val="00A73E43"/>
    <w:rsid w:val="00A73EBC"/>
    <w:rsid w:val="00A74020"/>
    <w:rsid w:val="00A742A7"/>
    <w:rsid w:val="00A745EF"/>
    <w:rsid w:val="00A75994"/>
    <w:rsid w:val="00A761A6"/>
    <w:rsid w:val="00A76AEC"/>
    <w:rsid w:val="00A76D1F"/>
    <w:rsid w:val="00A77511"/>
    <w:rsid w:val="00A7794C"/>
    <w:rsid w:val="00A77C27"/>
    <w:rsid w:val="00A77F03"/>
    <w:rsid w:val="00A80FC6"/>
    <w:rsid w:val="00A8117B"/>
    <w:rsid w:val="00A82DA4"/>
    <w:rsid w:val="00A83201"/>
    <w:rsid w:val="00A83DD9"/>
    <w:rsid w:val="00A849D7"/>
    <w:rsid w:val="00A84EB1"/>
    <w:rsid w:val="00A84EB2"/>
    <w:rsid w:val="00A84F07"/>
    <w:rsid w:val="00A8569E"/>
    <w:rsid w:val="00A85CC4"/>
    <w:rsid w:val="00A85E5F"/>
    <w:rsid w:val="00A860AD"/>
    <w:rsid w:val="00A86703"/>
    <w:rsid w:val="00A86BFA"/>
    <w:rsid w:val="00A87264"/>
    <w:rsid w:val="00A874EC"/>
    <w:rsid w:val="00A87FEA"/>
    <w:rsid w:val="00A9106C"/>
    <w:rsid w:val="00A9117E"/>
    <w:rsid w:val="00A91196"/>
    <w:rsid w:val="00A91288"/>
    <w:rsid w:val="00A915A7"/>
    <w:rsid w:val="00A92458"/>
    <w:rsid w:val="00A92461"/>
    <w:rsid w:val="00A92635"/>
    <w:rsid w:val="00A93770"/>
    <w:rsid w:val="00A93FDD"/>
    <w:rsid w:val="00A94439"/>
    <w:rsid w:val="00A954DE"/>
    <w:rsid w:val="00A95D30"/>
    <w:rsid w:val="00A95FBD"/>
    <w:rsid w:val="00A95FF9"/>
    <w:rsid w:val="00A9639B"/>
    <w:rsid w:val="00A97AD6"/>
    <w:rsid w:val="00A97B1B"/>
    <w:rsid w:val="00AA1535"/>
    <w:rsid w:val="00AA19F6"/>
    <w:rsid w:val="00AA1CD9"/>
    <w:rsid w:val="00AA1CF5"/>
    <w:rsid w:val="00AA2068"/>
    <w:rsid w:val="00AA2091"/>
    <w:rsid w:val="00AA2439"/>
    <w:rsid w:val="00AA2471"/>
    <w:rsid w:val="00AA2DEC"/>
    <w:rsid w:val="00AA30FD"/>
    <w:rsid w:val="00AA35B9"/>
    <w:rsid w:val="00AA3719"/>
    <w:rsid w:val="00AA37FF"/>
    <w:rsid w:val="00AA38A3"/>
    <w:rsid w:val="00AA3DFF"/>
    <w:rsid w:val="00AA4226"/>
    <w:rsid w:val="00AA446B"/>
    <w:rsid w:val="00AA452D"/>
    <w:rsid w:val="00AA4F4E"/>
    <w:rsid w:val="00AA5001"/>
    <w:rsid w:val="00AA570E"/>
    <w:rsid w:val="00AA5B7E"/>
    <w:rsid w:val="00AA5FBD"/>
    <w:rsid w:val="00AA68C1"/>
    <w:rsid w:val="00AA737F"/>
    <w:rsid w:val="00AA75C9"/>
    <w:rsid w:val="00AA7F65"/>
    <w:rsid w:val="00AB0756"/>
    <w:rsid w:val="00AB0B5F"/>
    <w:rsid w:val="00AB0D45"/>
    <w:rsid w:val="00AB1082"/>
    <w:rsid w:val="00AB1276"/>
    <w:rsid w:val="00AB1ABA"/>
    <w:rsid w:val="00AB1B0D"/>
    <w:rsid w:val="00AB22E0"/>
    <w:rsid w:val="00AB2A6B"/>
    <w:rsid w:val="00AB35EE"/>
    <w:rsid w:val="00AB3B61"/>
    <w:rsid w:val="00AB3EF5"/>
    <w:rsid w:val="00AB41D5"/>
    <w:rsid w:val="00AB4E4A"/>
    <w:rsid w:val="00AB6067"/>
    <w:rsid w:val="00AB6083"/>
    <w:rsid w:val="00AB649E"/>
    <w:rsid w:val="00AB6962"/>
    <w:rsid w:val="00AB74EB"/>
    <w:rsid w:val="00AB79D5"/>
    <w:rsid w:val="00AC06BE"/>
    <w:rsid w:val="00AC0A8C"/>
    <w:rsid w:val="00AC15C5"/>
    <w:rsid w:val="00AC1672"/>
    <w:rsid w:val="00AC1676"/>
    <w:rsid w:val="00AC1919"/>
    <w:rsid w:val="00AC1EB4"/>
    <w:rsid w:val="00AC3BF4"/>
    <w:rsid w:val="00AC45AB"/>
    <w:rsid w:val="00AC4C56"/>
    <w:rsid w:val="00AC548F"/>
    <w:rsid w:val="00AC563D"/>
    <w:rsid w:val="00AC5BE4"/>
    <w:rsid w:val="00AC61CF"/>
    <w:rsid w:val="00AC6552"/>
    <w:rsid w:val="00AC6583"/>
    <w:rsid w:val="00AC7212"/>
    <w:rsid w:val="00AC7ACF"/>
    <w:rsid w:val="00AC7FDF"/>
    <w:rsid w:val="00AD0822"/>
    <w:rsid w:val="00AD0F38"/>
    <w:rsid w:val="00AD15E1"/>
    <w:rsid w:val="00AD1B83"/>
    <w:rsid w:val="00AD1EA0"/>
    <w:rsid w:val="00AD20BF"/>
    <w:rsid w:val="00AD2645"/>
    <w:rsid w:val="00AD280C"/>
    <w:rsid w:val="00AD2FEA"/>
    <w:rsid w:val="00AD340E"/>
    <w:rsid w:val="00AD4968"/>
    <w:rsid w:val="00AD5842"/>
    <w:rsid w:val="00AD5F67"/>
    <w:rsid w:val="00AD5F86"/>
    <w:rsid w:val="00AD6BAF"/>
    <w:rsid w:val="00AD7702"/>
    <w:rsid w:val="00AE0373"/>
    <w:rsid w:val="00AE0F81"/>
    <w:rsid w:val="00AE118A"/>
    <w:rsid w:val="00AE173B"/>
    <w:rsid w:val="00AE1DF1"/>
    <w:rsid w:val="00AE1EE2"/>
    <w:rsid w:val="00AE21C7"/>
    <w:rsid w:val="00AE21DD"/>
    <w:rsid w:val="00AE24CD"/>
    <w:rsid w:val="00AE263F"/>
    <w:rsid w:val="00AE27C2"/>
    <w:rsid w:val="00AE281B"/>
    <w:rsid w:val="00AE28EF"/>
    <w:rsid w:val="00AE2F69"/>
    <w:rsid w:val="00AE2FD4"/>
    <w:rsid w:val="00AE300D"/>
    <w:rsid w:val="00AE33C0"/>
    <w:rsid w:val="00AE3912"/>
    <w:rsid w:val="00AE3935"/>
    <w:rsid w:val="00AE3D56"/>
    <w:rsid w:val="00AE3FAC"/>
    <w:rsid w:val="00AE440F"/>
    <w:rsid w:val="00AE44D9"/>
    <w:rsid w:val="00AE4B52"/>
    <w:rsid w:val="00AE5237"/>
    <w:rsid w:val="00AE5726"/>
    <w:rsid w:val="00AE5A9F"/>
    <w:rsid w:val="00AE6568"/>
    <w:rsid w:val="00AE663A"/>
    <w:rsid w:val="00AE6BB1"/>
    <w:rsid w:val="00AE6CD6"/>
    <w:rsid w:val="00AE6ED5"/>
    <w:rsid w:val="00AE6F3A"/>
    <w:rsid w:val="00AE7115"/>
    <w:rsid w:val="00AE75AA"/>
    <w:rsid w:val="00AE7A53"/>
    <w:rsid w:val="00AF0167"/>
    <w:rsid w:val="00AF0992"/>
    <w:rsid w:val="00AF0E86"/>
    <w:rsid w:val="00AF1018"/>
    <w:rsid w:val="00AF1C42"/>
    <w:rsid w:val="00AF2152"/>
    <w:rsid w:val="00AF233B"/>
    <w:rsid w:val="00AF2351"/>
    <w:rsid w:val="00AF2524"/>
    <w:rsid w:val="00AF337E"/>
    <w:rsid w:val="00AF3962"/>
    <w:rsid w:val="00AF3E98"/>
    <w:rsid w:val="00AF402A"/>
    <w:rsid w:val="00AF40AC"/>
    <w:rsid w:val="00AF4609"/>
    <w:rsid w:val="00AF4644"/>
    <w:rsid w:val="00AF5060"/>
    <w:rsid w:val="00AF671F"/>
    <w:rsid w:val="00AF72B5"/>
    <w:rsid w:val="00AF7842"/>
    <w:rsid w:val="00AF7AC9"/>
    <w:rsid w:val="00B00282"/>
    <w:rsid w:val="00B00581"/>
    <w:rsid w:val="00B005E3"/>
    <w:rsid w:val="00B009A5"/>
    <w:rsid w:val="00B009F2"/>
    <w:rsid w:val="00B00A6E"/>
    <w:rsid w:val="00B013FF"/>
    <w:rsid w:val="00B015FB"/>
    <w:rsid w:val="00B01C8D"/>
    <w:rsid w:val="00B02695"/>
    <w:rsid w:val="00B03512"/>
    <w:rsid w:val="00B03588"/>
    <w:rsid w:val="00B03C75"/>
    <w:rsid w:val="00B0410D"/>
    <w:rsid w:val="00B04220"/>
    <w:rsid w:val="00B0458F"/>
    <w:rsid w:val="00B046A3"/>
    <w:rsid w:val="00B0501C"/>
    <w:rsid w:val="00B051CC"/>
    <w:rsid w:val="00B05541"/>
    <w:rsid w:val="00B05825"/>
    <w:rsid w:val="00B059E4"/>
    <w:rsid w:val="00B05D9F"/>
    <w:rsid w:val="00B05E3E"/>
    <w:rsid w:val="00B0607E"/>
    <w:rsid w:val="00B06419"/>
    <w:rsid w:val="00B06843"/>
    <w:rsid w:val="00B06D2A"/>
    <w:rsid w:val="00B06ECF"/>
    <w:rsid w:val="00B072F6"/>
    <w:rsid w:val="00B07745"/>
    <w:rsid w:val="00B079A1"/>
    <w:rsid w:val="00B07ADF"/>
    <w:rsid w:val="00B07DBB"/>
    <w:rsid w:val="00B10149"/>
    <w:rsid w:val="00B108D9"/>
    <w:rsid w:val="00B10F95"/>
    <w:rsid w:val="00B11304"/>
    <w:rsid w:val="00B12D27"/>
    <w:rsid w:val="00B12DB0"/>
    <w:rsid w:val="00B13533"/>
    <w:rsid w:val="00B1380B"/>
    <w:rsid w:val="00B13833"/>
    <w:rsid w:val="00B13A2A"/>
    <w:rsid w:val="00B143F7"/>
    <w:rsid w:val="00B149BE"/>
    <w:rsid w:val="00B14D8F"/>
    <w:rsid w:val="00B15316"/>
    <w:rsid w:val="00B15352"/>
    <w:rsid w:val="00B157A1"/>
    <w:rsid w:val="00B16006"/>
    <w:rsid w:val="00B16117"/>
    <w:rsid w:val="00B16971"/>
    <w:rsid w:val="00B169FC"/>
    <w:rsid w:val="00B17268"/>
    <w:rsid w:val="00B175F0"/>
    <w:rsid w:val="00B202AC"/>
    <w:rsid w:val="00B2059F"/>
    <w:rsid w:val="00B20F6C"/>
    <w:rsid w:val="00B21D0B"/>
    <w:rsid w:val="00B21F20"/>
    <w:rsid w:val="00B222BA"/>
    <w:rsid w:val="00B223D7"/>
    <w:rsid w:val="00B227AA"/>
    <w:rsid w:val="00B228F9"/>
    <w:rsid w:val="00B22D7A"/>
    <w:rsid w:val="00B2302D"/>
    <w:rsid w:val="00B23764"/>
    <w:rsid w:val="00B23AE7"/>
    <w:rsid w:val="00B23BFA"/>
    <w:rsid w:val="00B24504"/>
    <w:rsid w:val="00B2476E"/>
    <w:rsid w:val="00B2480D"/>
    <w:rsid w:val="00B249AF"/>
    <w:rsid w:val="00B25105"/>
    <w:rsid w:val="00B25625"/>
    <w:rsid w:val="00B25633"/>
    <w:rsid w:val="00B25E05"/>
    <w:rsid w:val="00B26399"/>
    <w:rsid w:val="00B263EA"/>
    <w:rsid w:val="00B26CF4"/>
    <w:rsid w:val="00B26F1B"/>
    <w:rsid w:val="00B27445"/>
    <w:rsid w:val="00B27DCC"/>
    <w:rsid w:val="00B300BD"/>
    <w:rsid w:val="00B30622"/>
    <w:rsid w:val="00B31513"/>
    <w:rsid w:val="00B31E76"/>
    <w:rsid w:val="00B32218"/>
    <w:rsid w:val="00B324AF"/>
    <w:rsid w:val="00B3289A"/>
    <w:rsid w:val="00B33F1A"/>
    <w:rsid w:val="00B33F20"/>
    <w:rsid w:val="00B34331"/>
    <w:rsid w:val="00B34B52"/>
    <w:rsid w:val="00B34F20"/>
    <w:rsid w:val="00B35169"/>
    <w:rsid w:val="00B3519D"/>
    <w:rsid w:val="00B3522E"/>
    <w:rsid w:val="00B35AC8"/>
    <w:rsid w:val="00B35B62"/>
    <w:rsid w:val="00B36371"/>
    <w:rsid w:val="00B36500"/>
    <w:rsid w:val="00B36D34"/>
    <w:rsid w:val="00B371AA"/>
    <w:rsid w:val="00B37467"/>
    <w:rsid w:val="00B37B39"/>
    <w:rsid w:val="00B37F9B"/>
    <w:rsid w:val="00B40203"/>
    <w:rsid w:val="00B40526"/>
    <w:rsid w:val="00B40CB0"/>
    <w:rsid w:val="00B410EF"/>
    <w:rsid w:val="00B41A06"/>
    <w:rsid w:val="00B41A0D"/>
    <w:rsid w:val="00B41A82"/>
    <w:rsid w:val="00B41EFD"/>
    <w:rsid w:val="00B42C88"/>
    <w:rsid w:val="00B42DC9"/>
    <w:rsid w:val="00B434D1"/>
    <w:rsid w:val="00B43835"/>
    <w:rsid w:val="00B4384D"/>
    <w:rsid w:val="00B45314"/>
    <w:rsid w:val="00B466B7"/>
    <w:rsid w:val="00B506C7"/>
    <w:rsid w:val="00B508CE"/>
    <w:rsid w:val="00B50AA8"/>
    <w:rsid w:val="00B50F1D"/>
    <w:rsid w:val="00B51C94"/>
    <w:rsid w:val="00B523D1"/>
    <w:rsid w:val="00B52646"/>
    <w:rsid w:val="00B53051"/>
    <w:rsid w:val="00B53D2C"/>
    <w:rsid w:val="00B5425F"/>
    <w:rsid w:val="00B56C0E"/>
    <w:rsid w:val="00B56F6D"/>
    <w:rsid w:val="00B57132"/>
    <w:rsid w:val="00B575D3"/>
    <w:rsid w:val="00B577D0"/>
    <w:rsid w:val="00B5784A"/>
    <w:rsid w:val="00B57C51"/>
    <w:rsid w:val="00B57D46"/>
    <w:rsid w:val="00B6065C"/>
    <w:rsid w:val="00B60673"/>
    <w:rsid w:val="00B60F8A"/>
    <w:rsid w:val="00B625E3"/>
    <w:rsid w:val="00B62F2A"/>
    <w:rsid w:val="00B62FD9"/>
    <w:rsid w:val="00B6326B"/>
    <w:rsid w:val="00B6360C"/>
    <w:rsid w:val="00B63723"/>
    <w:rsid w:val="00B6382A"/>
    <w:rsid w:val="00B63C11"/>
    <w:rsid w:val="00B650AE"/>
    <w:rsid w:val="00B65BA8"/>
    <w:rsid w:val="00B65FF1"/>
    <w:rsid w:val="00B661AF"/>
    <w:rsid w:val="00B663E6"/>
    <w:rsid w:val="00B66447"/>
    <w:rsid w:val="00B66CC1"/>
    <w:rsid w:val="00B66FF7"/>
    <w:rsid w:val="00B704F1"/>
    <w:rsid w:val="00B7057A"/>
    <w:rsid w:val="00B70D76"/>
    <w:rsid w:val="00B711B3"/>
    <w:rsid w:val="00B71462"/>
    <w:rsid w:val="00B716EE"/>
    <w:rsid w:val="00B71A9E"/>
    <w:rsid w:val="00B723DA"/>
    <w:rsid w:val="00B7244D"/>
    <w:rsid w:val="00B7278F"/>
    <w:rsid w:val="00B72DA3"/>
    <w:rsid w:val="00B7309B"/>
    <w:rsid w:val="00B732CD"/>
    <w:rsid w:val="00B73718"/>
    <w:rsid w:val="00B73776"/>
    <w:rsid w:val="00B73926"/>
    <w:rsid w:val="00B73D29"/>
    <w:rsid w:val="00B7423A"/>
    <w:rsid w:val="00B7449C"/>
    <w:rsid w:val="00B74792"/>
    <w:rsid w:val="00B74C89"/>
    <w:rsid w:val="00B74D01"/>
    <w:rsid w:val="00B74E5A"/>
    <w:rsid w:val="00B74F26"/>
    <w:rsid w:val="00B74FD9"/>
    <w:rsid w:val="00B75DCA"/>
    <w:rsid w:val="00B75EBF"/>
    <w:rsid w:val="00B7654F"/>
    <w:rsid w:val="00B769FA"/>
    <w:rsid w:val="00B76E97"/>
    <w:rsid w:val="00B7791E"/>
    <w:rsid w:val="00B77AEA"/>
    <w:rsid w:val="00B77BC4"/>
    <w:rsid w:val="00B81DE5"/>
    <w:rsid w:val="00B82ACD"/>
    <w:rsid w:val="00B836D5"/>
    <w:rsid w:val="00B848B6"/>
    <w:rsid w:val="00B85133"/>
    <w:rsid w:val="00B856F8"/>
    <w:rsid w:val="00B85A0A"/>
    <w:rsid w:val="00B85D40"/>
    <w:rsid w:val="00B877D1"/>
    <w:rsid w:val="00B87E0F"/>
    <w:rsid w:val="00B900CB"/>
    <w:rsid w:val="00B9039D"/>
    <w:rsid w:val="00B90C51"/>
    <w:rsid w:val="00B90E92"/>
    <w:rsid w:val="00B917AD"/>
    <w:rsid w:val="00B91866"/>
    <w:rsid w:val="00B9195A"/>
    <w:rsid w:val="00B9196A"/>
    <w:rsid w:val="00B91F42"/>
    <w:rsid w:val="00B9217E"/>
    <w:rsid w:val="00B92720"/>
    <w:rsid w:val="00B92852"/>
    <w:rsid w:val="00B928EE"/>
    <w:rsid w:val="00B92DA3"/>
    <w:rsid w:val="00B92E85"/>
    <w:rsid w:val="00B9340D"/>
    <w:rsid w:val="00B934BC"/>
    <w:rsid w:val="00B93851"/>
    <w:rsid w:val="00B93FA7"/>
    <w:rsid w:val="00B94453"/>
    <w:rsid w:val="00B945B1"/>
    <w:rsid w:val="00B9479A"/>
    <w:rsid w:val="00B948AB"/>
    <w:rsid w:val="00B94B62"/>
    <w:rsid w:val="00B94F3B"/>
    <w:rsid w:val="00B952C3"/>
    <w:rsid w:val="00B95753"/>
    <w:rsid w:val="00B95B3B"/>
    <w:rsid w:val="00B95CC3"/>
    <w:rsid w:val="00B9644C"/>
    <w:rsid w:val="00B9653C"/>
    <w:rsid w:val="00B9728D"/>
    <w:rsid w:val="00BA0290"/>
    <w:rsid w:val="00BA02C5"/>
    <w:rsid w:val="00BA04B9"/>
    <w:rsid w:val="00BA0638"/>
    <w:rsid w:val="00BA0824"/>
    <w:rsid w:val="00BA0EEE"/>
    <w:rsid w:val="00BA1315"/>
    <w:rsid w:val="00BA1644"/>
    <w:rsid w:val="00BA224E"/>
    <w:rsid w:val="00BA251D"/>
    <w:rsid w:val="00BA2D55"/>
    <w:rsid w:val="00BA2DD1"/>
    <w:rsid w:val="00BA2E84"/>
    <w:rsid w:val="00BA300E"/>
    <w:rsid w:val="00BA41B1"/>
    <w:rsid w:val="00BA453C"/>
    <w:rsid w:val="00BA4779"/>
    <w:rsid w:val="00BA5A38"/>
    <w:rsid w:val="00BA5D93"/>
    <w:rsid w:val="00BA5FCB"/>
    <w:rsid w:val="00BA68C3"/>
    <w:rsid w:val="00BA6BE3"/>
    <w:rsid w:val="00BA708B"/>
    <w:rsid w:val="00BA7369"/>
    <w:rsid w:val="00BA78F4"/>
    <w:rsid w:val="00BA7A13"/>
    <w:rsid w:val="00BB0C93"/>
    <w:rsid w:val="00BB1BA2"/>
    <w:rsid w:val="00BB1C86"/>
    <w:rsid w:val="00BB1DCF"/>
    <w:rsid w:val="00BB286C"/>
    <w:rsid w:val="00BB2A8C"/>
    <w:rsid w:val="00BB2B90"/>
    <w:rsid w:val="00BB332F"/>
    <w:rsid w:val="00BB4792"/>
    <w:rsid w:val="00BB4D63"/>
    <w:rsid w:val="00BB50C0"/>
    <w:rsid w:val="00BB5597"/>
    <w:rsid w:val="00BB5994"/>
    <w:rsid w:val="00BB5D74"/>
    <w:rsid w:val="00BB5FD4"/>
    <w:rsid w:val="00BB664A"/>
    <w:rsid w:val="00BB6761"/>
    <w:rsid w:val="00BB6A0E"/>
    <w:rsid w:val="00BB6BCD"/>
    <w:rsid w:val="00BC0BFD"/>
    <w:rsid w:val="00BC0E4B"/>
    <w:rsid w:val="00BC1257"/>
    <w:rsid w:val="00BC1454"/>
    <w:rsid w:val="00BC1C59"/>
    <w:rsid w:val="00BC21FC"/>
    <w:rsid w:val="00BC2441"/>
    <w:rsid w:val="00BC2890"/>
    <w:rsid w:val="00BC2ADB"/>
    <w:rsid w:val="00BC2C94"/>
    <w:rsid w:val="00BC2EE0"/>
    <w:rsid w:val="00BC3D08"/>
    <w:rsid w:val="00BC4CFA"/>
    <w:rsid w:val="00BC5C90"/>
    <w:rsid w:val="00BC5D06"/>
    <w:rsid w:val="00BC643D"/>
    <w:rsid w:val="00BC67D2"/>
    <w:rsid w:val="00BC68E8"/>
    <w:rsid w:val="00BC698E"/>
    <w:rsid w:val="00BC6AB4"/>
    <w:rsid w:val="00BC7595"/>
    <w:rsid w:val="00BC7740"/>
    <w:rsid w:val="00BC7EF9"/>
    <w:rsid w:val="00BD0812"/>
    <w:rsid w:val="00BD11B2"/>
    <w:rsid w:val="00BD11EA"/>
    <w:rsid w:val="00BD13AD"/>
    <w:rsid w:val="00BD166A"/>
    <w:rsid w:val="00BD17AA"/>
    <w:rsid w:val="00BD1A7A"/>
    <w:rsid w:val="00BD1DFE"/>
    <w:rsid w:val="00BD22F8"/>
    <w:rsid w:val="00BD2518"/>
    <w:rsid w:val="00BD2757"/>
    <w:rsid w:val="00BD2E79"/>
    <w:rsid w:val="00BD33BA"/>
    <w:rsid w:val="00BD3866"/>
    <w:rsid w:val="00BD3929"/>
    <w:rsid w:val="00BD3E7C"/>
    <w:rsid w:val="00BD435A"/>
    <w:rsid w:val="00BD4ED6"/>
    <w:rsid w:val="00BD50E9"/>
    <w:rsid w:val="00BD5165"/>
    <w:rsid w:val="00BD59FF"/>
    <w:rsid w:val="00BD5C21"/>
    <w:rsid w:val="00BD6319"/>
    <w:rsid w:val="00BD6B4F"/>
    <w:rsid w:val="00BD6CB0"/>
    <w:rsid w:val="00BD6F3F"/>
    <w:rsid w:val="00BD6FFE"/>
    <w:rsid w:val="00BD7669"/>
    <w:rsid w:val="00BD7A2B"/>
    <w:rsid w:val="00BD7AE1"/>
    <w:rsid w:val="00BE0234"/>
    <w:rsid w:val="00BE05CB"/>
    <w:rsid w:val="00BE0768"/>
    <w:rsid w:val="00BE0FF9"/>
    <w:rsid w:val="00BE1080"/>
    <w:rsid w:val="00BE12AC"/>
    <w:rsid w:val="00BE1B41"/>
    <w:rsid w:val="00BE1D86"/>
    <w:rsid w:val="00BE1D8E"/>
    <w:rsid w:val="00BE202D"/>
    <w:rsid w:val="00BE2319"/>
    <w:rsid w:val="00BE23C5"/>
    <w:rsid w:val="00BE2647"/>
    <w:rsid w:val="00BE29CA"/>
    <w:rsid w:val="00BE3146"/>
    <w:rsid w:val="00BE3B0A"/>
    <w:rsid w:val="00BE4008"/>
    <w:rsid w:val="00BE43FA"/>
    <w:rsid w:val="00BE4566"/>
    <w:rsid w:val="00BE4633"/>
    <w:rsid w:val="00BE4771"/>
    <w:rsid w:val="00BE4975"/>
    <w:rsid w:val="00BE4D7F"/>
    <w:rsid w:val="00BE4F0E"/>
    <w:rsid w:val="00BE566C"/>
    <w:rsid w:val="00BE67AE"/>
    <w:rsid w:val="00BE6C9B"/>
    <w:rsid w:val="00BE77DB"/>
    <w:rsid w:val="00BF0CF8"/>
    <w:rsid w:val="00BF10FD"/>
    <w:rsid w:val="00BF11BD"/>
    <w:rsid w:val="00BF16EA"/>
    <w:rsid w:val="00BF190D"/>
    <w:rsid w:val="00BF2320"/>
    <w:rsid w:val="00BF3046"/>
    <w:rsid w:val="00BF31D6"/>
    <w:rsid w:val="00BF327D"/>
    <w:rsid w:val="00BF3748"/>
    <w:rsid w:val="00BF396E"/>
    <w:rsid w:val="00BF3A4C"/>
    <w:rsid w:val="00BF3C73"/>
    <w:rsid w:val="00BF3CE9"/>
    <w:rsid w:val="00BF3FAA"/>
    <w:rsid w:val="00BF46F4"/>
    <w:rsid w:val="00BF48FB"/>
    <w:rsid w:val="00BF49E8"/>
    <w:rsid w:val="00BF4F3F"/>
    <w:rsid w:val="00BF50CE"/>
    <w:rsid w:val="00BF528D"/>
    <w:rsid w:val="00BF57FE"/>
    <w:rsid w:val="00BF5AA0"/>
    <w:rsid w:val="00BF5B7E"/>
    <w:rsid w:val="00BF5D94"/>
    <w:rsid w:val="00BF64B0"/>
    <w:rsid w:val="00BF6965"/>
    <w:rsid w:val="00BF7A47"/>
    <w:rsid w:val="00C001C7"/>
    <w:rsid w:val="00C00BAF"/>
    <w:rsid w:val="00C0178C"/>
    <w:rsid w:val="00C01B23"/>
    <w:rsid w:val="00C01B42"/>
    <w:rsid w:val="00C02B2C"/>
    <w:rsid w:val="00C02BD0"/>
    <w:rsid w:val="00C0319D"/>
    <w:rsid w:val="00C0395A"/>
    <w:rsid w:val="00C04222"/>
    <w:rsid w:val="00C04531"/>
    <w:rsid w:val="00C04919"/>
    <w:rsid w:val="00C04E93"/>
    <w:rsid w:val="00C054B4"/>
    <w:rsid w:val="00C05804"/>
    <w:rsid w:val="00C05E29"/>
    <w:rsid w:val="00C05FE7"/>
    <w:rsid w:val="00C05FFF"/>
    <w:rsid w:val="00C06F98"/>
    <w:rsid w:val="00C07324"/>
    <w:rsid w:val="00C077D0"/>
    <w:rsid w:val="00C07A54"/>
    <w:rsid w:val="00C07AF8"/>
    <w:rsid w:val="00C07C58"/>
    <w:rsid w:val="00C10817"/>
    <w:rsid w:val="00C108D9"/>
    <w:rsid w:val="00C10B8E"/>
    <w:rsid w:val="00C12762"/>
    <w:rsid w:val="00C12EF5"/>
    <w:rsid w:val="00C1383F"/>
    <w:rsid w:val="00C13FFB"/>
    <w:rsid w:val="00C14503"/>
    <w:rsid w:val="00C145B2"/>
    <w:rsid w:val="00C153E9"/>
    <w:rsid w:val="00C1549C"/>
    <w:rsid w:val="00C1585C"/>
    <w:rsid w:val="00C15C6D"/>
    <w:rsid w:val="00C1631C"/>
    <w:rsid w:val="00C169A1"/>
    <w:rsid w:val="00C16BB7"/>
    <w:rsid w:val="00C17724"/>
    <w:rsid w:val="00C200A9"/>
    <w:rsid w:val="00C2059E"/>
    <w:rsid w:val="00C21B66"/>
    <w:rsid w:val="00C21C25"/>
    <w:rsid w:val="00C21C83"/>
    <w:rsid w:val="00C2269D"/>
    <w:rsid w:val="00C22A00"/>
    <w:rsid w:val="00C22F48"/>
    <w:rsid w:val="00C22FB2"/>
    <w:rsid w:val="00C2316A"/>
    <w:rsid w:val="00C2388F"/>
    <w:rsid w:val="00C23A06"/>
    <w:rsid w:val="00C2497C"/>
    <w:rsid w:val="00C24DAD"/>
    <w:rsid w:val="00C25C2D"/>
    <w:rsid w:val="00C26055"/>
    <w:rsid w:val="00C262B0"/>
    <w:rsid w:val="00C2658C"/>
    <w:rsid w:val="00C267C3"/>
    <w:rsid w:val="00C26B08"/>
    <w:rsid w:val="00C27306"/>
    <w:rsid w:val="00C2788D"/>
    <w:rsid w:val="00C27A3A"/>
    <w:rsid w:val="00C27C07"/>
    <w:rsid w:val="00C27C57"/>
    <w:rsid w:val="00C27FDE"/>
    <w:rsid w:val="00C3045F"/>
    <w:rsid w:val="00C304B3"/>
    <w:rsid w:val="00C30F79"/>
    <w:rsid w:val="00C311DC"/>
    <w:rsid w:val="00C312EF"/>
    <w:rsid w:val="00C31437"/>
    <w:rsid w:val="00C33451"/>
    <w:rsid w:val="00C33B47"/>
    <w:rsid w:val="00C3480A"/>
    <w:rsid w:val="00C34A46"/>
    <w:rsid w:val="00C34B21"/>
    <w:rsid w:val="00C34CD1"/>
    <w:rsid w:val="00C34D68"/>
    <w:rsid w:val="00C35AF6"/>
    <w:rsid w:val="00C35BC7"/>
    <w:rsid w:val="00C35C1C"/>
    <w:rsid w:val="00C35DEB"/>
    <w:rsid w:val="00C35F9F"/>
    <w:rsid w:val="00C360A3"/>
    <w:rsid w:val="00C364FB"/>
    <w:rsid w:val="00C36726"/>
    <w:rsid w:val="00C36C39"/>
    <w:rsid w:val="00C37B12"/>
    <w:rsid w:val="00C40147"/>
    <w:rsid w:val="00C402E1"/>
    <w:rsid w:val="00C40771"/>
    <w:rsid w:val="00C40A3C"/>
    <w:rsid w:val="00C40F09"/>
    <w:rsid w:val="00C414A9"/>
    <w:rsid w:val="00C41A69"/>
    <w:rsid w:val="00C41BDC"/>
    <w:rsid w:val="00C41FA1"/>
    <w:rsid w:val="00C429C6"/>
    <w:rsid w:val="00C42ED5"/>
    <w:rsid w:val="00C42EDC"/>
    <w:rsid w:val="00C43451"/>
    <w:rsid w:val="00C43C18"/>
    <w:rsid w:val="00C44849"/>
    <w:rsid w:val="00C44E61"/>
    <w:rsid w:val="00C451B3"/>
    <w:rsid w:val="00C45E07"/>
    <w:rsid w:val="00C4649C"/>
    <w:rsid w:val="00C464CF"/>
    <w:rsid w:val="00C46DAD"/>
    <w:rsid w:val="00C500A0"/>
    <w:rsid w:val="00C5050E"/>
    <w:rsid w:val="00C5145F"/>
    <w:rsid w:val="00C51731"/>
    <w:rsid w:val="00C51DA7"/>
    <w:rsid w:val="00C51EAB"/>
    <w:rsid w:val="00C52710"/>
    <w:rsid w:val="00C52780"/>
    <w:rsid w:val="00C52FC1"/>
    <w:rsid w:val="00C5357A"/>
    <w:rsid w:val="00C53E67"/>
    <w:rsid w:val="00C5407C"/>
    <w:rsid w:val="00C54968"/>
    <w:rsid w:val="00C54C6C"/>
    <w:rsid w:val="00C55504"/>
    <w:rsid w:val="00C5579E"/>
    <w:rsid w:val="00C557BA"/>
    <w:rsid w:val="00C55CCF"/>
    <w:rsid w:val="00C55EB3"/>
    <w:rsid w:val="00C55EC9"/>
    <w:rsid w:val="00C56933"/>
    <w:rsid w:val="00C5698E"/>
    <w:rsid w:val="00C56DB1"/>
    <w:rsid w:val="00C56EF6"/>
    <w:rsid w:val="00C56F81"/>
    <w:rsid w:val="00C6036D"/>
    <w:rsid w:val="00C62024"/>
    <w:rsid w:val="00C622E6"/>
    <w:rsid w:val="00C62CC4"/>
    <w:rsid w:val="00C63081"/>
    <w:rsid w:val="00C630EC"/>
    <w:rsid w:val="00C63403"/>
    <w:rsid w:val="00C63E27"/>
    <w:rsid w:val="00C6414D"/>
    <w:rsid w:val="00C6497A"/>
    <w:rsid w:val="00C64A26"/>
    <w:rsid w:val="00C67312"/>
    <w:rsid w:val="00C677A1"/>
    <w:rsid w:val="00C67CCF"/>
    <w:rsid w:val="00C70213"/>
    <w:rsid w:val="00C70363"/>
    <w:rsid w:val="00C70ED5"/>
    <w:rsid w:val="00C7166F"/>
    <w:rsid w:val="00C716FF"/>
    <w:rsid w:val="00C71B97"/>
    <w:rsid w:val="00C73628"/>
    <w:rsid w:val="00C7365B"/>
    <w:rsid w:val="00C7377B"/>
    <w:rsid w:val="00C738AF"/>
    <w:rsid w:val="00C73EB5"/>
    <w:rsid w:val="00C74722"/>
    <w:rsid w:val="00C7479A"/>
    <w:rsid w:val="00C74D7E"/>
    <w:rsid w:val="00C74F2D"/>
    <w:rsid w:val="00C75722"/>
    <w:rsid w:val="00C757A7"/>
    <w:rsid w:val="00C75CA1"/>
    <w:rsid w:val="00C77872"/>
    <w:rsid w:val="00C77AA2"/>
    <w:rsid w:val="00C77F55"/>
    <w:rsid w:val="00C801CF"/>
    <w:rsid w:val="00C80DC2"/>
    <w:rsid w:val="00C81814"/>
    <w:rsid w:val="00C81BD9"/>
    <w:rsid w:val="00C81F21"/>
    <w:rsid w:val="00C82212"/>
    <w:rsid w:val="00C82236"/>
    <w:rsid w:val="00C82738"/>
    <w:rsid w:val="00C82ED8"/>
    <w:rsid w:val="00C833A5"/>
    <w:rsid w:val="00C83858"/>
    <w:rsid w:val="00C83A24"/>
    <w:rsid w:val="00C8417A"/>
    <w:rsid w:val="00C84341"/>
    <w:rsid w:val="00C845CD"/>
    <w:rsid w:val="00C84789"/>
    <w:rsid w:val="00C85061"/>
    <w:rsid w:val="00C85187"/>
    <w:rsid w:val="00C85B4F"/>
    <w:rsid w:val="00C86575"/>
    <w:rsid w:val="00C865BA"/>
    <w:rsid w:val="00C86FA2"/>
    <w:rsid w:val="00C8702A"/>
    <w:rsid w:val="00C87BC6"/>
    <w:rsid w:val="00C9215C"/>
    <w:rsid w:val="00C92CE3"/>
    <w:rsid w:val="00C92E9B"/>
    <w:rsid w:val="00C93167"/>
    <w:rsid w:val="00C931A1"/>
    <w:rsid w:val="00C932C9"/>
    <w:rsid w:val="00C93393"/>
    <w:rsid w:val="00C93773"/>
    <w:rsid w:val="00C9386F"/>
    <w:rsid w:val="00C93ED6"/>
    <w:rsid w:val="00C941F2"/>
    <w:rsid w:val="00C942BC"/>
    <w:rsid w:val="00C9484A"/>
    <w:rsid w:val="00C94C02"/>
    <w:rsid w:val="00C958D3"/>
    <w:rsid w:val="00C95C46"/>
    <w:rsid w:val="00C95CF1"/>
    <w:rsid w:val="00C96043"/>
    <w:rsid w:val="00C96418"/>
    <w:rsid w:val="00C9649E"/>
    <w:rsid w:val="00C964C4"/>
    <w:rsid w:val="00C964EE"/>
    <w:rsid w:val="00C9653E"/>
    <w:rsid w:val="00C96C58"/>
    <w:rsid w:val="00C96C9C"/>
    <w:rsid w:val="00C97150"/>
    <w:rsid w:val="00C971C8"/>
    <w:rsid w:val="00C97212"/>
    <w:rsid w:val="00C97FE6"/>
    <w:rsid w:val="00CA0590"/>
    <w:rsid w:val="00CA064B"/>
    <w:rsid w:val="00CA1B62"/>
    <w:rsid w:val="00CA25EF"/>
    <w:rsid w:val="00CA298C"/>
    <w:rsid w:val="00CA3205"/>
    <w:rsid w:val="00CA3269"/>
    <w:rsid w:val="00CA39FF"/>
    <w:rsid w:val="00CA3FAD"/>
    <w:rsid w:val="00CA4C71"/>
    <w:rsid w:val="00CA5029"/>
    <w:rsid w:val="00CA51DF"/>
    <w:rsid w:val="00CA5276"/>
    <w:rsid w:val="00CA59AC"/>
    <w:rsid w:val="00CA62C5"/>
    <w:rsid w:val="00CA676C"/>
    <w:rsid w:val="00CA6A93"/>
    <w:rsid w:val="00CA7268"/>
    <w:rsid w:val="00CA765D"/>
    <w:rsid w:val="00CA79C9"/>
    <w:rsid w:val="00CB000D"/>
    <w:rsid w:val="00CB0629"/>
    <w:rsid w:val="00CB1659"/>
    <w:rsid w:val="00CB1A67"/>
    <w:rsid w:val="00CB21D1"/>
    <w:rsid w:val="00CB2DCA"/>
    <w:rsid w:val="00CB2E55"/>
    <w:rsid w:val="00CB3504"/>
    <w:rsid w:val="00CB3776"/>
    <w:rsid w:val="00CB387C"/>
    <w:rsid w:val="00CB3941"/>
    <w:rsid w:val="00CB3CFE"/>
    <w:rsid w:val="00CB3EFC"/>
    <w:rsid w:val="00CB4598"/>
    <w:rsid w:val="00CB45F4"/>
    <w:rsid w:val="00CB473D"/>
    <w:rsid w:val="00CB4C22"/>
    <w:rsid w:val="00CB4FBC"/>
    <w:rsid w:val="00CB5AA0"/>
    <w:rsid w:val="00CB5EE3"/>
    <w:rsid w:val="00CB6142"/>
    <w:rsid w:val="00CB61F9"/>
    <w:rsid w:val="00CB742C"/>
    <w:rsid w:val="00CB7E78"/>
    <w:rsid w:val="00CC012F"/>
    <w:rsid w:val="00CC0392"/>
    <w:rsid w:val="00CC0864"/>
    <w:rsid w:val="00CC0D8A"/>
    <w:rsid w:val="00CC12FB"/>
    <w:rsid w:val="00CC19F7"/>
    <w:rsid w:val="00CC1DB1"/>
    <w:rsid w:val="00CC23B8"/>
    <w:rsid w:val="00CC2505"/>
    <w:rsid w:val="00CC2622"/>
    <w:rsid w:val="00CC31BD"/>
    <w:rsid w:val="00CC38F8"/>
    <w:rsid w:val="00CC3C8B"/>
    <w:rsid w:val="00CC3EAD"/>
    <w:rsid w:val="00CC4607"/>
    <w:rsid w:val="00CC4F8D"/>
    <w:rsid w:val="00CC63FF"/>
    <w:rsid w:val="00CC6406"/>
    <w:rsid w:val="00CC6828"/>
    <w:rsid w:val="00CC73AD"/>
    <w:rsid w:val="00CC7624"/>
    <w:rsid w:val="00CC7A2D"/>
    <w:rsid w:val="00CC7D1F"/>
    <w:rsid w:val="00CD0364"/>
    <w:rsid w:val="00CD03B1"/>
    <w:rsid w:val="00CD03D8"/>
    <w:rsid w:val="00CD088E"/>
    <w:rsid w:val="00CD0D72"/>
    <w:rsid w:val="00CD1408"/>
    <w:rsid w:val="00CD1525"/>
    <w:rsid w:val="00CD176D"/>
    <w:rsid w:val="00CD1C2B"/>
    <w:rsid w:val="00CD2796"/>
    <w:rsid w:val="00CD28BD"/>
    <w:rsid w:val="00CD3380"/>
    <w:rsid w:val="00CD37A2"/>
    <w:rsid w:val="00CD37C4"/>
    <w:rsid w:val="00CD3FC6"/>
    <w:rsid w:val="00CD426A"/>
    <w:rsid w:val="00CD4976"/>
    <w:rsid w:val="00CD51EA"/>
    <w:rsid w:val="00CD5814"/>
    <w:rsid w:val="00CD588D"/>
    <w:rsid w:val="00CD5EC3"/>
    <w:rsid w:val="00CD5F71"/>
    <w:rsid w:val="00CD6387"/>
    <w:rsid w:val="00CD67AD"/>
    <w:rsid w:val="00CD6AE9"/>
    <w:rsid w:val="00CD7B1E"/>
    <w:rsid w:val="00CD7D16"/>
    <w:rsid w:val="00CE0157"/>
    <w:rsid w:val="00CE04A8"/>
    <w:rsid w:val="00CE0939"/>
    <w:rsid w:val="00CE1850"/>
    <w:rsid w:val="00CE1BC9"/>
    <w:rsid w:val="00CE24FC"/>
    <w:rsid w:val="00CE2B97"/>
    <w:rsid w:val="00CE2E34"/>
    <w:rsid w:val="00CE2E67"/>
    <w:rsid w:val="00CE32B0"/>
    <w:rsid w:val="00CE3853"/>
    <w:rsid w:val="00CE402F"/>
    <w:rsid w:val="00CE4054"/>
    <w:rsid w:val="00CE4287"/>
    <w:rsid w:val="00CE4391"/>
    <w:rsid w:val="00CE45F8"/>
    <w:rsid w:val="00CE4B1E"/>
    <w:rsid w:val="00CE4C70"/>
    <w:rsid w:val="00CE4D1A"/>
    <w:rsid w:val="00CE503C"/>
    <w:rsid w:val="00CE5A09"/>
    <w:rsid w:val="00CE5F54"/>
    <w:rsid w:val="00CE63B8"/>
    <w:rsid w:val="00CE6C74"/>
    <w:rsid w:val="00CE6DF5"/>
    <w:rsid w:val="00CE6F9B"/>
    <w:rsid w:val="00CE713B"/>
    <w:rsid w:val="00CE7325"/>
    <w:rsid w:val="00CE75F2"/>
    <w:rsid w:val="00CE779F"/>
    <w:rsid w:val="00CE7AFB"/>
    <w:rsid w:val="00CE7E31"/>
    <w:rsid w:val="00CF03C7"/>
    <w:rsid w:val="00CF0603"/>
    <w:rsid w:val="00CF2673"/>
    <w:rsid w:val="00CF29A6"/>
    <w:rsid w:val="00CF3630"/>
    <w:rsid w:val="00CF3913"/>
    <w:rsid w:val="00CF3BDC"/>
    <w:rsid w:val="00CF44EA"/>
    <w:rsid w:val="00CF4535"/>
    <w:rsid w:val="00CF46F6"/>
    <w:rsid w:val="00CF4A3D"/>
    <w:rsid w:val="00CF546A"/>
    <w:rsid w:val="00CF5982"/>
    <w:rsid w:val="00CF60D0"/>
    <w:rsid w:val="00CF685F"/>
    <w:rsid w:val="00CF6937"/>
    <w:rsid w:val="00CF6A59"/>
    <w:rsid w:val="00CF6B65"/>
    <w:rsid w:val="00CF6D32"/>
    <w:rsid w:val="00CF6E39"/>
    <w:rsid w:val="00CF729A"/>
    <w:rsid w:val="00CF7994"/>
    <w:rsid w:val="00D007A4"/>
    <w:rsid w:val="00D00936"/>
    <w:rsid w:val="00D009BE"/>
    <w:rsid w:val="00D00BF0"/>
    <w:rsid w:val="00D00F0D"/>
    <w:rsid w:val="00D00FC5"/>
    <w:rsid w:val="00D00FC7"/>
    <w:rsid w:val="00D0106E"/>
    <w:rsid w:val="00D012EB"/>
    <w:rsid w:val="00D0137A"/>
    <w:rsid w:val="00D01AC8"/>
    <w:rsid w:val="00D01B2C"/>
    <w:rsid w:val="00D01D16"/>
    <w:rsid w:val="00D03633"/>
    <w:rsid w:val="00D03C2D"/>
    <w:rsid w:val="00D03E50"/>
    <w:rsid w:val="00D04532"/>
    <w:rsid w:val="00D04E2D"/>
    <w:rsid w:val="00D05179"/>
    <w:rsid w:val="00D05B51"/>
    <w:rsid w:val="00D070F6"/>
    <w:rsid w:val="00D07CBF"/>
    <w:rsid w:val="00D104F5"/>
    <w:rsid w:val="00D10532"/>
    <w:rsid w:val="00D10921"/>
    <w:rsid w:val="00D1092C"/>
    <w:rsid w:val="00D11727"/>
    <w:rsid w:val="00D12858"/>
    <w:rsid w:val="00D12975"/>
    <w:rsid w:val="00D12A20"/>
    <w:rsid w:val="00D12B1F"/>
    <w:rsid w:val="00D13059"/>
    <w:rsid w:val="00D132A7"/>
    <w:rsid w:val="00D1380E"/>
    <w:rsid w:val="00D14303"/>
    <w:rsid w:val="00D14423"/>
    <w:rsid w:val="00D144D7"/>
    <w:rsid w:val="00D14EDF"/>
    <w:rsid w:val="00D15C6C"/>
    <w:rsid w:val="00D15D00"/>
    <w:rsid w:val="00D15D69"/>
    <w:rsid w:val="00D15E7B"/>
    <w:rsid w:val="00D165A5"/>
    <w:rsid w:val="00D172C4"/>
    <w:rsid w:val="00D17704"/>
    <w:rsid w:val="00D17A24"/>
    <w:rsid w:val="00D17CFE"/>
    <w:rsid w:val="00D17FD1"/>
    <w:rsid w:val="00D20498"/>
    <w:rsid w:val="00D2071F"/>
    <w:rsid w:val="00D228F1"/>
    <w:rsid w:val="00D2361C"/>
    <w:rsid w:val="00D237E9"/>
    <w:rsid w:val="00D239AB"/>
    <w:rsid w:val="00D2504F"/>
    <w:rsid w:val="00D26107"/>
    <w:rsid w:val="00D2657A"/>
    <w:rsid w:val="00D2739B"/>
    <w:rsid w:val="00D274C3"/>
    <w:rsid w:val="00D27857"/>
    <w:rsid w:val="00D27BC9"/>
    <w:rsid w:val="00D30875"/>
    <w:rsid w:val="00D30A82"/>
    <w:rsid w:val="00D312F1"/>
    <w:rsid w:val="00D312F3"/>
    <w:rsid w:val="00D3149C"/>
    <w:rsid w:val="00D318FD"/>
    <w:rsid w:val="00D31F86"/>
    <w:rsid w:val="00D322D6"/>
    <w:rsid w:val="00D32941"/>
    <w:rsid w:val="00D32C6D"/>
    <w:rsid w:val="00D32D4D"/>
    <w:rsid w:val="00D33509"/>
    <w:rsid w:val="00D335C4"/>
    <w:rsid w:val="00D33D29"/>
    <w:rsid w:val="00D33F4D"/>
    <w:rsid w:val="00D34786"/>
    <w:rsid w:val="00D34D99"/>
    <w:rsid w:val="00D34E7E"/>
    <w:rsid w:val="00D3543B"/>
    <w:rsid w:val="00D35662"/>
    <w:rsid w:val="00D35C2E"/>
    <w:rsid w:val="00D35E96"/>
    <w:rsid w:val="00D3633A"/>
    <w:rsid w:val="00D367A5"/>
    <w:rsid w:val="00D36818"/>
    <w:rsid w:val="00D36830"/>
    <w:rsid w:val="00D36B14"/>
    <w:rsid w:val="00D36D22"/>
    <w:rsid w:val="00D36D30"/>
    <w:rsid w:val="00D36E32"/>
    <w:rsid w:val="00D37AC9"/>
    <w:rsid w:val="00D37EDF"/>
    <w:rsid w:val="00D37F3F"/>
    <w:rsid w:val="00D40855"/>
    <w:rsid w:val="00D40B35"/>
    <w:rsid w:val="00D40D3A"/>
    <w:rsid w:val="00D426BE"/>
    <w:rsid w:val="00D42B73"/>
    <w:rsid w:val="00D432E3"/>
    <w:rsid w:val="00D44149"/>
    <w:rsid w:val="00D4426B"/>
    <w:rsid w:val="00D44872"/>
    <w:rsid w:val="00D4490D"/>
    <w:rsid w:val="00D44A50"/>
    <w:rsid w:val="00D44A93"/>
    <w:rsid w:val="00D455BF"/>
    <w:rsid w:val="00D45D37"/>
    <w:rsid w:val="00D4620A"/>
    <w:rsid w:val="00D4695B"/>
    <w:rsid w:val="00D46C29"/>
    <w:rsid w:val="00D46C46"/>
    <w:rsid w:val="00D46EE0"/>
    <w:rsid w:val="00D477DB"/>
    <w:rsid w:val="00D47C42"/>
    <w:rsid w:val="00D50B0D"/>
    <w:rsid w:val="00D50C16"/>
    <w:rsid w:val="00D50FBC"/>
    <w:rsid w:val="00D51558"/>
    <w:rsid w:val="00D5162C"/>
    <w:rsid w:val="00D516F3"/>
    <w:rsid w:val="00D52377"/>
    <w:rsid w:val="00D52FEA"/>
    <w:rsid w:val="00D534B9"/>
    <w:rsid w:val="00D539B2"/>
    <w:rsid w:val="00D53B7B"/>
    <w:rsid w:val="00D54097"/>
    <w:rsid w:val="00D5437D"/>
    <w:rsid w:val="00D55193"/>
    <w:rsid w:val="00D55342"/>
    <w:rsid w:val="00D569CB"/>
    <w:rsid w:val="00D576A5"/>
    <w:rsid w:val="00D60626"/>
    <w:rsid w:val="00D607D1"/>
    <w:rsid w:val="00D608AC"/>
    <w:rsid w:val="00D61339"/>
    <w:rsid w:val="00D61F1F"/>
    <w:rsid w:val="00D625DE"/>
    <w:rsid w:val="00D62DE4"/>
    <w:rsid w:val="00D6308F"/>
    <w:rsid w:val="00D631E5"/>
    <w:rsid w:val="00D6349C"/>
    <w:rsid w:val="00D63E83"/>
    <w:rsid w:val="00D64003"/>
    <w:rsid w:val="00D6404A"/>
    <w:rsid w:val="00D64051"/>
    <w:rsid w:val="00D64413"/>
    <w:rsid w:val="00D64446"/>
    <w:rsid w:val="00D6451E"/>
    <w:rsid w:val="00D64802"/>
    <w:rsid w:val="00D64A65"/>
    <w:rsid w:val="00D64BCC"/>
    <w:rsid w:val="00D650EF"/>
    <w:rsid w:val="00D65AE5"/>
    <w:rsid w:val="00D65DB7"/>
    <w:rsid w:val="00D66083"/>
    <w:rsid w:val="00D66737"/>
    <w:rsid w:val="00D6699B"/>
    <w:rsid w:val="00D66F17"/>
    <w:rsid w:val="00D674DE"/>
    <w:rsid w:val="00D67582"/>
    <w:rsid w:val="00D678A9"/>
    <w:rsid w:val="00D67F7C"/>
    <w:rsid w:val="00D70D82"/>
    <w:rsid w:val="00D72117"/>
    <w:rsid w:val="00D7276C"/>
    <w:rsid w:val="00D73641"/>
    <w:rsid w:val="00D73DAC"/>
    <w:rsid w:val="00D73E57"/>
    <w:rsid w:val="00D7400C"/>
    <w:rsid w:val="00D74192"/>
    <w:rsid w:val="00D74512"/>
    <w:rsid w:val="00D7471B"/>
    <w:rsid w:val="00D74918"/>
    <w:rsid w:val="00D749D5"/>
    <w:rsid w:val="00D75002"/>
    <w:rsid w:val="00D75966"/>
    <w:rsid w:val="00D760CD"/>
    <w:rsid w:val="00D76A65"/>
    <w:rsid w:val="00D76AF6"/>
    <w:rsid w:val="00D76C10"/>
    <w:rsid w:val="00D777DB"/>
    <w:rsid w:val="00D807EB"/>
    <w:rsid w:val="00D82BAC"/>
    <w:rsid w:val="00D82CFA"/>
    <w:rsid w:val="00D838F5"/>
    <w:rsid w:val="00D83EE2"/>
    <w:rsid w:val="00D8431C"/>
    <w:rsid w:val="00D845D4"/>
    <w:rsid w:val="00D84BA2"/>
    <w:rsid w:val="00D85331"/>
    <w:rsid w:val="00D8540D"/>
    <w:rsid w:val="00D85B88"/>
    <w:rsid w:val="00D86111"/>
    <w:rsid w:val="00D86521"/>
    <w:rsid w:val="00D86D29"/>
    <w:rsid w:val="00D87364"/>
    <w:rsid w:val="00D8775C"/>
    <w:rsid w:val="00D877B6"/>
    <w:rsid w:val="00D90385"/>
    <w:rsid w:val="00D90FC2"/>
    <w:rsid w:val="00D91012"/>
    <w:rsid w:val="00D91024"/>
    <w:rsid w:val="00D9106A"/>
    <w:rsid w:val="00D91EBD"/>
    <w:rsid w:val="00D927B1"/>
    <w:rsid w:val="00D92CB1"/>
    <w:rsid w:val="00D94FF6"/>
    <w:rsid w:val="00D95C09"/>
    <w:rsid w:val="00D95C68"/>
    <w:rsid w:val="00D96153"/>
    <w:rsid w:val="00D9656C"/>
    <w:rsid w:val="00D97224"/>
    <w:rsid w:val="00D974DC"/>
    <w:rsid w:val="00D978CA"/>
    <w:rsid w:val="00D97BEE"/>
    <w:rsid w:val="00DA047C"/>
    <w:rsid w:val="00DA05FD"/>
    <w:rsid w:val="00DA0E9F"/>
    <w:rsid w:val="00DA0F5D"/>
    <w:rsid w:val="00DA193D"/>
    <w:rsid w:val="00DA1EC0"/>
    <w:rsid w:val="00DA20C7"/>
    <w:rsid w:val="00DA2741"/>
    <w:rsid w:val="00DA363F"/>
    <w:rsid w:val="00DA45F8"/>
    <w:rsid w:val="00DA58C7"/>
    <w:rsid w:val="00DA5F75"/>
    <w:rsid w:val="00DA6769"/>
    <w:rsid w:val="00DA6A16"/>
    <w:rsid w:val="00DA6D29"/>
    <w:rsid w:val="00DA7131"/>
    <w:rsid w:val="00DA7465"/>
    <w:rsid w:val="00DA7FC4"/>
    <w:rsid w:val="00DB018E"/>
    <w:rsid w:val="00DB0190"/>
    <w:rsid w:val="00DB0592"/>
    <w:rsid w:val="00DB08D1"/>
    <w:rsid w:val="00DB0C1D"/>
    <w:rsid w:val="00DB0DCF"/>
    <w:rsid w:val="00DB0F34"/>
    <w:rsid w:val="00DB0F81"/>
    <w:rsid w:val="00DB13F2"/>
    <w:rsid w:val="00DB14E5"/>
    <w:rsid w:val="00DB1AC0"/>
    <w:rsid w:val="00DB20A7"/>
    <w:rsid w:val="00DB24E1"/>
    <w:rsid w:val="00DB2F06"/>
    <w:rsid w:val="00DB2FA2"/>
    <w:rsid w:val="00DB4364"/>
    <w:rsid w:val="00DB458F"/>
    <w:rsid w:val="00DB4708"/>
    <w:rsid w:val="00DB478C"/>
    <w:rsid w:val="00DB5019"/>
    <w:rsid w:val="00DB6414"/>
    <w:rsid w:val="00DB65C5"/>
    <w:rsid w:val="00DB66FD"/>
    <w:rsid w:val="00DB6A52"/>
    <w:rsid w:val="00DB74CC"/>
    <w:rsid w:val="00DB7C24"/>
    <w:rsid w:val="00DB7C27"/>
    <w:rsid w:val="00DC02E9"/>
    <w:rsid w:val="00DC04B3"/>
    <w:rsid w:val="00DC0603"/>
    <w:rsid w:val="00DC0841"/>
    <w:rsid w:val="00DC0B9F"/>
    <w:rsid w:val="00DC13A1"/>
    <w:rsid w:val="00DC165C"/>
    <w:rsid w:val="00DC2AE6"/>
    <w:rsid w:val="00DC2D26"/>
    <w:rsid w:val="00DC3C3F"/>
    <w:rsid w:val="00DC4703"/>
    <w:rsid w:val="00DC55A6"/>
    <w:rsid w:val="00DC569F"/>
    <w:rsid w:val="00DC5D97"/>
    <w:rsid w:val="00DC623B"/>
    <w:rsid w:val="00DC639F"/>
    <w:rsid w:val="00DC67BB"/>
    <w:rsid w:val="00DC7353"/>
    <w:rsid w:val="00DC763E"/>
    <w:rsid w:val="00DC76ED"/>
    <w:rsid w:val="00DD016F"/>
    <w:rsid w:val="00DD020F"/>
    <w:rsid w:val="00DD05B8"/>
    <w:rsid w:val="00DD10EF"/>
    <w:rsid w:val="00DD1840"/>
    <w:rsid w:val="00DD1B73"/>
    <w:rsid w:val="00DD26CC"/>
    <w:rsid w:val="00DD2D05"/>
    <w:rsid w:val="00DD337E"/>
    <w:rsid w:val="00DD3AF5"/>
    <w:rsid w:val="00DD4A1B"/>
    <w:rsid w:val="00DD4A70"/>
    <w:rsid w:val="00DD4B60"/>
    <w:rsid w:val="00DD4B78"/>
    <w:rsid w:val="00DD4C7D"/>
    <w:rsid w:val="00DD4CEF"/>
    <w:rsid w:val="00DD569F"/>
    <w:rsid w:val="00DD57AC"/>
    <w:rsid w:val="00DD66EF"/>
    <w:rsid w:val="00DD67D8"/>
    <w:rsid w:val="00DD6D51"/>
    <w:rsid w:val="00DD7339"/>
    <w:rsid w:val="00DD754F"/>
    <w:rsid w:val="00DD7756"/>
    <w:rsid w:val="00DD7DF3"/>
    <w:rsid w:val="00DE005A"/>
    <w:rsid w:val="00DE07C3"/>
    <w:rsid w:val="00DE097F"/>
    <w:rsid w:val="00DE0F23"/>
    <w:rsid w:val="00DE12D7"/>
    <w:rsid w:val="00DE1D36"/>
    <w:rsid w:val="00DE3861"/>
    <w:rsid w:val="00DE3EF3"/>
    <w:rsid w:val="00DE53D2"/>
    <w:rsid w:val="00DE7AFE"/>
    <w:rsid w:val="00DF1033"/>
    <w:rsid w:val="00DF1432"/>
    <w:rsid w:val="00DF21DA"/>
    <w:rsid w:val="00DF318C"/>
    <w:rsid w:val="00DF366E"/>
    <w:rsid w:val="00DF3B3F"/>
    <w:rsid w:val="00DF3C53"/>
    <w:rsid w:val="00DF3D20"/>
    <w:rsid w:val="00DF4FA3"/>
    <w:rsid w:val="00DF5084"/>
    <w:rsid w:val="00DF583C"/>
    <w:rsid w:val="00DF5AD5"/>
    <w:rsid w:val="00DF5B20"/>
    <w:rsid w:val="00DF64F7"/>
    <w:rsid w:val="00DF6674"/>
    <w:rsid w:val="00DF7674"/>
    <w:rsid w:val="00DF78D5"/>
    <w:rsid w:val="00DF7963"/>
    <w:rsid w:val="00DF7D1A"/>
    <w:rsid w:val="00DF7FD8"/>
    <w:rsid w:val="00E0000C"/>
    <w:rsid w:val="00E00358"/>
    <w:rsid w:val="00E004C3"/>
    <w:rsid w:val="00E01739"/>
    <w:rsid w:val="00E01939"/>
    <w:rsid w:val="00E01C9E"/>
    <w:rsid w:val="00E03076"/>
    <w:rsid w:val="00E03857"/>
    <w:rsid w:val="00E03ACC"/>
    <w:rsid w:val="00E04745"/>
    <w:rsid w:val="00E048CA"/>
    <w:rsid w:val="00E049A9"/>
    <w:rsid w:val="00E059A1"/>
    <w:rsid w:val="00E05C44"/>
    <w:rsid w:val="00E05DE8"/>
    <w:rsid w:val="00E06D9B"/>
    <w:rsid w:val="00E07491"/>
    <w:rsid w:val="00E0760E"/>
    <w:rsid w:val="00E076F8"/>
    <w:rsid w:val="00E077ED"/>
    <w:rsid w:val="00E101B3"/>
    <w:rsid w:val="00E10DB5"/>
    <w:rsid w:val="00E10F6C"/>
    <w:rsid w:val="00E1152A"/>
    <w:rsid w:val="00E11FDE"/>
    <w:rsid w:val="00E12EB5"/>
    <w:rsid w:val="00E12F65"/>
    <w:rsid w:val="00E13060"/>
    <w:rsid w:val="00E13269"/>
    <w:rsid w:val="00E133A3"/>
    <w:rsid w:val="00E1351D"/>
    <w:rsid w:val="00E135DE"/>
    <w:rsid w:val="00E135F2"/>
    <w:rsid w:val="00E1360F"/>
    <w:rsid w:val="00E137B2"/>
    <w:rsid w:val="00E139F7"/>
    <w:rsid w:val="00E13C7F"/>
    <w:rsid w:val="00E13CB7"/>
    <w:rsid w:val="00E14565"/>
    <w:rsid w:val="00E14A3B"/>
    <w:rsid w:val="00E15661"/>
    <w:rsid w:val="00E156DF"/>
    <w:rsid w:val="00E15B0B"/>
    <w:rsid w:val="00E15BAC"/>
    <w:rsid w:val="00E15FA9"/>
    <w:rsid w:val="00E15FC0"/>
    <w:rsid w:val="00E162A1"/>
    <w:rsid w:val="00E164FB"/>
    <w:rsid w:val="00E16604"/>
    <w:rsid w:val="00E1695B"/>
    <w:rsid w:val="00E16D80"/>
    <w:rsid w:val="00E1715D"/>
    <w:rsid w:val="00E20595"/>
    <w:rsid w:val="00E2107E"/>
    <w:rsid w:val="00E21B31"/>
    <w:rsid w:val="00E2206C"/>
    <w:rsid w:val="00E224B8"/>
    <w:rsid w:val="00E22BFA"/>
    <w:rsid w:val="00E2322F"/>
    <w:rsid w:val="00E23437"/>
    <w:rsid w:val="00E23833"/>
    <w:rsid w:val="00E23B2B"/>
    <w:rsid w:val="00E23EDB"/>
    <w:rsid w:val="00E240A3"/>
    <w:rsid w:val="00E2519F"/>
    <w:rsid w:val="00E258FD"/>
    <w:rsid w:val="00E25A92"/>
    <w:rsid w:val="00E25F48"/>
    <w:rsid w:val="00E263DE"/>
    <w:rsid w:val="00E2664D"/>
    <w:rsid w:val="00E26A4D"/>
    <w:rsid w:val="00E26B92"/>
    <w:rsid w:val="00E26FED"/>
    <w:rsid w:val="00E277AC"/>
    <w:rsid w:val="00E27958"/>
    <w:rsid w:val="00E309BB"/>
    <w:rsid w:val="00E30FA1"/>
    <w:rsid w:val="00E31167"/>
    <w:rsid w:val="00E314B5"/>
    <w:rsid w:val="00E320AB"/>
    <w:rsid w:val="00E3256E"/>
    <w:rsid w:val="00E332E7"/>
    <w:rsid w:val="00E337AE"/>
    <w:rsid w:val="00E338FD"/>
    <w:rsid w:val="00E33985"/>
    <w:rsid w:val="00E33A07"/>
    <w:rsid w:val="00E33D50"/>
    <w:rsid w:val="00E33E2F"/>
    <w:rsid w:val="00E34017"/>
    <w:rsid w:val="00E344E1"/>
    <w:rsid w:val="00E355E2"/>
    <w:rsid w:val="00E35C56"/>
    <w:rsid w:val="00E36598"/>
    <w:rsid w:val="00E36B28"/>
    <w:rsid w:val="00E36F17"/>
    <w:rsid w:val="00E370CB"/>
    <w:rsid w:val="00E37460"/>
    <w:rsid w:val="00E4031B"/>
    <w:rsid w:val="00E405EF"/>
    <w:rsid w:val="00E409A9"/>
    <w:rsid w:val="00E41383"/>
    <w:rsid w:val="00E41489"/>
    <w:rsid w:val="00E420FE"/>
    <w:rsid w:val="00E42111"/>
    <w:rsid w:val="00E42210"/>
    <w:rsid w:val="00E42F7B"/>
    <w:rsid w:val="00E4421B"/>
    <w:rsid w:val="00E44279"/>
    <w:rsid w:val="00E44705"/>
    <w:rsid w:val="00E454DF"/>
    <w:rsid w:val="00E45730"/>
    <w:rsid w:val="00E45EC6"/>
    <w:rsid w:val="00E47490"/>
    <w:rsid w:val="00E47AA3"/>
    <w:rsid w:val="00E5036E"/>
    <w:rsid w:val="00E50437"/>
    <w:rsid w:val="00E506CC"/>
    <w:rsid w:val="00E507F8"/>
    <w:rsid w:val="00E512EC"/>
    <w:rsid w:val="00E51488"/>
    <w:rsid w:val="00E51A29"/>
    <w:rsid w:val="00E52B45"/>
    <w:rsid w:val="00E5306D"/>
    <w:rsid w:val="00E53132"/>
    <w:rsid w:val="00E5335A"/>
    <w:rsid w:val="00E53B7A"/>
    <w:rsid w:val="00E53DB7"/>
    <w:rsid w:val="00E54066"/>
    <w:rsid w:val="00E547F2"/>
    <w:rsid w:val="00E54A63"/>
    <w:rsid w:val="00E54C75"/>
    <w:rsid w:val="00E54D5F"/>
    <w:rsid w:val="00E54F14"/>
    <w:rsid w:val="00E550A6"/>
    <w:rsid w:val="00E555D3"/>
    <w:rsid w:val="00E5579E"/>
    <w:rsid w:val="00E558D0"/>
    <w:rsid w:val="00E55A8C"/>
    <w:rsid w:val="00E55E44"/>
    <w:rsid w:val="00E560F4"/>
    <w:rsid w:val="00E5643A"/>
    <w:rsid w:val="00E56DD3"/>
    <w:rsid w:val="00E571DE"/>
    <w:rsid w:val="00E57B19"/>
    <w:rsid w:val="00E57B9B"/>
    <w:rsid w:val="00E601AB"/>
    <w:rsid w:val="00E61456"/>
    <w:rsid w:val="00E61B7F"/>
    <w:rsid w:val="00E61DD4"/>
    <w:rsid w:val="00E61ED0"/>
    <w:rsid w:val="00E62FE1"/>
    <w:rsid w:val="00E6350F"/>
    <w:rsid w:val="00E635FF"/>
    <w:rsid w:val="00E63701"/>
    <w:rsid w:val="00E63F0D"/>
    <w:rsid w:val="00E659A0"/>
    <w:rsid w:val="00E65D32"/>
    <w:rsid w:val="00E65FE9"/>
    <w:rsid w:val="00E6602A"/>
    <w:rsid w:val="00E660E3"/>
    <w:rsid w:val="00E6629C"/>
    <w:rsid w:val="00E66D02"/>
    <w:rsid w:val="00E66DBB"/>
    <w:rsid w:val="00E677C0"/>
    <w:rsid w:val="00E70015"/>
    <w:rsid w:val="00E701E8"/>
    <w:rsid w:val="00E7118A"/>
    <w:rsid w:val="00E71EA7"/>
    <w:rsid w:val="00E72184"/>
    <w:rsid w:val="00E7223E"/>
    <w:rsid w:val="00E72924"/>
    <w:rsid w:val="00E7307E"/>
    <w:rsid w:val="00E730C2"/>
    <w:rsid w:val="00E73125"/>
    <w:rsid w:val="00E73342"/>
    <w:rsid w:val="00E73A58"/>
    <w:rsid w:val="00E73C2F"/>
    <w:rsid w:val="00E73D80"/>
    <w:rsid w:val="00E746FD"/>
    <w:rsid w:val="00E74914"/>
    <w:rsid w:val="00E754A3"/>
    <w:rsid w:val="00E756AF"/>
    <w:rsid w:val="00E759CC"/>
    <w:rsid w:val="00E75BFA"/>
    <w:rsid w:val="00E76267"/>
    <w:rsid w:val="00E7684A"/>
    <w:rsid w:val="00E76AF3"/>
    <w:rsid w:val="00E76EC7"/>
    <w:rsid w:val="00E777F8"/>
    <w:rsid w:val="00E77D3E"/>
    <w:rsid w:val="00E80872"/>
    <w:rsid w:val="00E80AD7"/>
    <w:rsid w:val="00E819ED"/>
    <w:rsid w:val="00E81AA2"/>
    <w:rsid w:val="00E820E4"/>
    <w:rsid w:val="00E82F5A"/>
    <w:rsid w:val="00E8357C"/>
    <w:rsid w:val="00E83C39"/>
    <w:rsid w:val="00E83F50"/>
    <w:rsid w:val="00E857F4"/>
    <w:rsid w:val="00E85E44"/>
    <w:rsid w:val="00E860C6"/>
    <w:rsid w:val="00E87DDE"/>
    <w:rsid w:val="00E9035E"/>
    <w:rsid w:val="00E9078B"/>
    <w:rsid w:val="00E90AAE"/>
    <w:rsid w:val="00E90B58"/>
    <w:rsid w:val="00E90EC2"/>
    <w:rsid w:val="00E9111A"/>
    <w:rsid w:val="00E911C1"/>
    <w:rsid w:val="00E916DF"/>
    <w:rsid w:val="00E923D5"/>
    <w:rsid w:val="00E92656"/>
    <w:rsid w:val="00E92C19"/>
    <w:rsid w:val="00E92FA2"/>
    <w:rsid w:val="00E93B45"/>
    <w:rsid w:val="00E93D6B"/>
    <w:rsid w:val="00E94AC6"/>
    <w:rsid w:val="00E95836"/>
    <w:rsid w:val="00E95C6D"/>
    <w:rsid w:val="00E95D5D"/>
    <w:rsid w:val="00E95FA8"/>
    <w:rsid w:val="00E96648"/>
    <w:rsid w:val="00E967F8"/>
    <w:rsid w:val="00E97469"/>
    <w:rsid w:val="00E97603"/>
    <w:rsid w:val="00E9762C"/>
    <w:rsid w:val="00E977DD"/>
    <w:rsid w:val="00E9791A"/>
    <w:rsid w:val="00EA1067"/>
    <w:rsid w:val="00EA15B2"/>
    <w:rsid w:val="00EA17CC"/>
    <w:rsid w:val="00EA17DE"/>
    <w:rsid w:val="00EA1D88"/>
    <w:rsid w:val="00EA2402"/>
    <w:rsid w:val="00EA2618"/>
    <w:rsid w:val="00EA26C2"/>
    <w:rsid w:val="00EA2AFD"/>
    <w:rsid w:val="00EA3CA1"/>
    <w:rsid w:val="00EA4088"/>
    <w:rsid w:val="00EA40E1"/>
    <w:rsid w:val="00EA4313"/>
    <w:rsid w:val="00EA431D"/>
    <w:rsid w:val="00EA4775"/>
    <w:rsid w:val="00EA4AA4"/>
    <w:rsid w:val="00EA5400"/>
    <w:rsid w:val="00EA5AD8"/>
    <w:rsid w:val="00EA5FB7"/>
    <w:rsid w:val="00EA62F3"/>
    <w:rsid w:val="00EA6A85"/>
    <w:rsid w:val="00EA7037"/>
    <w:rsid w:val="00EA7242"/>
    <w:rsid w:val="00EA7934"/>
    <w:rsid w:val="00EA7F8A"/>
    <w:rsid w:val="00EB00AC"/>
    <w:rsid w:val="00EB01F1"/>
    <w:rsid w:val="00EB0A21"/>
    <w:rsid w:val="00EB0DB3"/>
    <w:rsid w:val="00EB0F35"/>
    <w:rsid w:val="00EB0FDF"/>
    <w:rsid w:val="00EB1588"/>
    <w:rsid w:val="00EB167B"/>
    <w:rsid w:val="00EB1BDA"/>
    <w:rsid w:val="00EB1C0E"/>
    <w:rsid w:val="00EB1EF2"/>
    <w:rsid w:val="00EB213E"/>
    <w:rsid w:val="00EB2620"/>
    <w:rsid w:val="00EB28EB"/>
    <w:rsid w:val="00EB301B"/>
    <w:rsid w:val="00EB3850"/>
    <w:rsid w:val="00EB397D"/>
    <w:rsid w:val="00EB3C61"/>
    <w:rsid w:val="00EB3CF8"/>
    <w:rsid w:val="00EB3DF7"/>
    <w:rsid w:val="00EB40C7"/>
    <w:rsid w:val="00EB40EA"/>
    <w:rsid w:val="00EB41EB"/>
    <w:rsid w:val="00EB5025"/>
    <w:rsid w:val="00EB65B7"/>
    <w:rsid w:val="00EB6782"/>
    <w:rsid w:val="00EB67D1"/>
    <w:rsid w:val="00EB6C4F"/>
    <w:rsid w:val="00EB6E91"/>
    <w:rsid w:val="00EB6F04"/>
    <w:rsid w:val="00EB7013"/>
    <w:rsid w:val="00EB7880"/>
    <w:rsid w:val="00EB7B9F"/>
    <w:rsid w:val="00EC06D1"/>
    <w:rsid w:val="00EC08D4"/>
    <w:rsid w:val="00EC0A68"/>
    <w:rsid w:val="00EC0B13"/>
    <w:rsid w:val="00EC18F1"/>
    <w:rsid w:val="00EC27F9"/>
    <w:rsid w:val="00EC4BF5"/>
    <w:rsid w:val="00EC5248"/>
    <w:rsid w:val="00EC57C4"/>
    <w:rsid w:val="00EC66CD"/>
    <w:rsid w:val="00EC6C74"/>
    <w:rsid w:val="00EC6CC5"/>
    <w:rsid w:val="00EC6F32"/>
    <w:rsid w:val="00EC761B"/>
    <w:rsid w:val="00EC7FF8"/>
    <w:rsid w:val="00ED092F"/>
    <w:rsid w:val="00ED0B26"/>
    <w:rsid w:val="00ED0D57"/>
    <w:rsid w:val="00ED1298"/>
    <w:rsid w:val="00ED179B"/>
    <w:rsid w:val="00ED288B"/>
    <w:rsid w:val="00ED322B"/>
    <w:rsid w:val="00ED324F"/>
    <w:rsid w:val="00ED35EA"/>
    <w:rsid w:val="00ED360E"/>
    <w:rsid w:val="00ED36B4"/>
    <w:rsid w:val="00ED36DA"/>
    <w:rsid w:val="00ED3CE1"/>
    <w:rsid w:val="00ED3EF4"/>
    <w:rsid w:val="00ED3F12"/>
    <w:rsid w:val="00ED457B"/>
    <w:rsid w:val="00ED49C4"/>
    <w:rsid w:val="00ED4A0C"/>
    <w:rsid w:val="00ED54DC"/>
    <w:rsid w:val="00ED575D"/>
    <w:rsid w:val="00ED5B4E"/>
    <w:rsid w:val="00ED69EF"/>
    <w:rsid w:val="00ED6A4F"/>
    <w:rsid w:val="00ED7418"/>
    <w:rsid w:val="00ED7526"/>
    <w:rsid w:val="00ED77CB"/>
    <w:rsid w:val="00ED78EF"/>
    <w:rsid w:val="00ED79BB"/>
    <w:rsid w:val="00ED7ACD"/>
    <w:rsid w:val="00EE003C"/>
    <w:rsid w:val="00EE0607"/>
    <w:rsid w:val="00EE07FA"/>
    <w:rsid w:val="00EE096E"/>
    <w:rsid w:val="00EE12A4"/>
    <w:rsid w:val="00EE13EB"/>
    <w:rsid w:val="00EE1758"/>
    <w:rsid w:val="00EE1D8B"/>
    <w:rsid w:val="00EE28DA"/>
    <w:rsid w:val="00EE299A"/>
    <w:rsid w:val="00EE3187"/>
    <w:rsid w:val="00EE3C94"/>
    <w:rsid w:val="00EE3F36"/>
    <w:rsid w:val="00EE40A8"/>
    <w:rsid w:val="00EE4C58"/>
    <w:rsid w:val="00EE4CDA"/>
    <w:rsid w:val="00EE4E77"/>
    <w:rsid w:val="00EE5783"/>
    <w:rsid w:val="00EE639D"/>
    <w:rsid w:val="00EE6873"/>
    <w:rsid w:val="00EE7421"/>
    <w:rsid w:val="00EE77F0"/>
    <w:rsid w:val="00EE7D3E"/>
    <w:rsid w:val="00EF0DE2"/>
    <w:rsid w:val="00EF0E15"/>
    <w:rsid w:val="00EF16AD"/>
    <w:rsid w:val="00EF1A00"/>
    <w:rsid w:val="00EF252D"/>
    <w:rsid w:val="00EF2B1A"/>
    <w:rsid w:val="00EF2C55"/>
    <w:rsid w:val="00EF2FC8"/>
    <w:rsid w:val="00EF34C8"/>
    <w:rsid w:val="00EF3540"/>
    <w:rsid w:val="00EF38CC"/>
    <w:rsid w:val="00EF3A96"/>
    <w:rsid w:val="00EF3EDF"/>
    <w:rsid w:val="00EF4613"/>
    <w:rsid w:val="00EF4929"/>
    <w:rsid w:val="00EF500D"/>
    <w:rsid w:val="00EF52C2"/>
    <w:rsid w:val="00EF5851"/>
    <w:rsid w:val="00EF5B3D"/>
    <w:rsid w:val="00EF617C"/>
    <w:rsid w:val="00EF619A"/>
    <w:rsid w:val="00EF6F11"/>
    <w:rsid w:val="00EF6F17"/>
    <w:rsid w:val="00EF7073"/>
    <w:rsid w:val="00EF7810"/>
    <w:rsid w:val="00EF7B93"/>
    <w:rsid w:val="00EF7C30"/>
    <w:rsid w:val="00F007A3"/>
    <w:rsid w:val="00F007E9"/>
    <w:rsid w:val="00F012AF"/>
    <w:rsid w:val="00F01B02"/>
    <w:rsid w:val="00F01C05"/>
    <w:rsid w:val="00F020F6"/>
    <w:rsid w:val="00F025E5"/>
    <w:rsid w:val="00F038A3"/>
    <w:rsid w:val="00F03E47"/>
    <w:rsid w:val="00F04EF4"/>
    <w:rsid w:val="00F0508F"/>
    <w:rsid w:val="00F0513F"/>
    <w:rsid w:val="00F054DF"/>
    <w:rsid w:val="00F055F1"/>
    <w:rsid w:val="00F05E87"/>
    <w:rsid w:val="00F062A7"/>
    <w:rsid w:val="00F0677D"/>
    <w:rsid w:val="00F06976"/>
    <w:rsid w:val="00F06C9F"/>
    <w:rsid w:val="00F06DA4"/>
    <w:rsid w:val="00F070C3"/>
    <w:rsid w:val="00F07AB6"/>
    <w:rsid w:val="00F07DEE"/>
    <w:rsid w:val="00F100E5"/>
    <w:rsid w:val="00F11681"/>
    <w:rsid w:val="00F11836"/>
    <w:rsid w:val="00F11D35"/>
    <w:rsid w:val="00F11D7D"/>
    <w:rsid w:val="00F12FE6"/>
    <w:rsid w:val="00F13348"/>
    <w:rsid w:val="00F13816"/>
    <w:rsid w:val="00F143C4"/>
    <w:rsid w:val="00F14710"/>
    <w:rsid w:val="00F1519A"/>
    <w:rsid w:val="00F15893"/>
    <w:rsid w:val="00F159F9"/>
    <w:rsid w:val="00F15B17"/>
    <w:rsid w:val="00F1650C"/>
    <w:rsid w:val="00F166E7"/>
    <w:rsid w:val="00F166FA"/>
    <w:rsid w:val="00F16F82"/>
    <w:rsid w:val="00F178B9"/>
    <w:rsid w:val="00F17C3D"/>
    <w:rsid w:val="00F209E7"/>
    <w:rsid w:val="00F20B6C"/>
    <w:rsid w:val="00F20DB3"/>
    <w:rsid w:val="00F20E36"/>
    <w:rsid w:val="00F212D0"/>
    <w:rsid w:val="00F21440"/>
    <w:rsid w:val="00F21942"/>
    <w:rsid w:val="00F22567"/>
    <w:rsid w:val="00F225D7"/>
    <w:rsid w:val="00F22A09"/>
    <w:rsid w:val="00F23295"/>
    <w:rsid w:val="00F23C7D"/>
    <w:rsid w:val="00F24097"/>
    <w:rsid w:val="00F24367"/>
    <w:rsid w:val="00F24D95"/>
    <w:rsid w:val="00F25536"/>
    <w:rsid w:val="00F25790"/>
    <w:rsid w:val="00F258F5"/>
    <w:rsid w:val="00F25ED9"/>
    <w:rsid w:val="00F269C7"/>
    <w:rsid w:val="00F26B80"/>
    <w:rsid w:val="00F26C99"/>
    <w:rsid w:val="00F2792D"/>
    <w:rsid w:val="00F2792F"/>
    <w:rsid w:val="00F304B1"/>
    <w:rsid w:val="00F30CDF"/>
    <w:rsid w:val="00F3139E"/>
    <w:rsid w:val="00F31876"/>
    <w:rsid w:val="00F328DD"/>
    <w:rsid w:val="00F331B3"/>
    <w:rsid w:val="00F3323F"/>
    <w:rsid w:val="00F333D7"/>
    <w:rsid w:val="00F33448"/>
    <w:rsid w:val="00F338D7"/>
    <w:rsid w:val="00F3434A"/>
    <w:rsid w:val="00F34D9D"/>
    <w:rsid w:val="00F35186"/>
    <w:rsid w:val="00F35B63"/>
    <w:rsid w:val="00F35EBB"/>
    <w:rsid w:val="00F36CD9"/>
    <w:rsid w:val="00F36F62"/>
    <w:rsid w:val="00F37C0A"/>
    <w:rsid w:val="00F40161"/>
    <w:rsid w:val="00F408A7"/>
    <w:rsid w:val="00F40FA0"/>
    <w:rsid w:val="00F41061"/>
    <w:rsid w:val="00F41CBD"/>
    <w:rsid w:val="00F42B7F"/>
    <w:rsid w:val="00F42C80"/>
    <w:rsid w:val="00F43150"/>
    <w:rsid w:val="00F44620"/>
    <w:rsid w:val="00F44CB0"/>
    <w:rsid w:val="00F45052"/>
    <w:rsid w:val="00F45654"/>
    <w:rsid w:val="00F45B43"/>
    <w:rsid w:val="00F45DC7"/>
    <w:rsid w:val="00F46C76"/>
    <w:rsid w:val="00F46D8E"/>
    <w:rsid w:val="00F46E61"/>
    <w:rsid w:val="00F46FD8"/>
    <w:rsid w:val="00F4730F"/>
    <w:rsid w:val="00F4768F"/>
    <w:rsid w:val="00F476B4"/>
    <w:rsid w:val="00F47D59"/>
    <w:rsid w:val="00F47E48"/>
    <w:rsid w:val="00F47F30"/>
    <w:rsid w:val="00F5038D"/>
    <w:rsid w:val="00F50C42"/>
    <w:rsid w:val="00F50F13"/>
    <w:rsid w:val="00F5283A"/>
    <w:rsid w:val="00F52A00"/>
    <w:rsid w:val="00F533AF"/>
    <w:rsid w:val="00F542E4"/>
    <w:rsid w:val="00F543A8"/>
    <w:rsid w:val="00F54571"/>
    <w:rsid w:val="00F54C88"/>
    <w:rsid w:val="00F54F81"/>
    <w:rsid w:val="00F55B2E"/>
    <w:rsid w:val="00F567C1"/>
    <w:rsid w:val="00F56B88"/>
    <w:rsid w:val="00F56E5B"/>
    <w:rsid w:val="00F57361"/>
    <w:rsid w:val="00F57395"/>
    <w:rsid w:val="00F574A1"/>
    <w:rsid w:val="00F57B0A"/>
    <w:rsid w:val="00F60242"/>
    <w:rsid w:val="00F604B9"/>
    <w:rsid w:val="00F60CEC"/>
    <w:rsid w:val="00F61490"/>
    <w:rsid w:val="00F6194D"/>
    <w:rsid w:val="00F61FA8"/>
    <w:rsid w:val="00F620C7"/>
    <w:rsid w:val="00F63473"/>
    <w:rsid w:val="00F646E2"/>
    <w:rsid w:val="00F647A9"/>
    <w:rsid w:val="00F65070"/>
    <w:rsid w:val="00F657B0"/>
    <w:rsid w:val="00F65B0D"/>
    <w:rsid w:val="00F66674"/>
    <w:rsid w:val="00F66884"/>
    <w:rsid w:val="00F66B6C"/>
    <w:rsid w:val="00F66C1B"/>
    <w:rsid w:val="00F6796F"/>
    <w:rsid w:val="00F67B07"/>
    <w:rsid w:val="00F67C85"/>
    <w:rsid w:val="00F67CC8"/>
    <w:rsid w:val="00F70145"/>
    <w:rsid w:val="00F70582"/>
    <w:rsid w:val="00F706FC"/>
    <w:rsid w:val="00F708A2"/>
    <w:rsid w:val="00F7095C"/>
    <w:rsid w:val="00F70A25"/>
    <w:rsid w:val="00F70ABA"/>
    <w:rsid w:val="00F70BFF"/>
    <w:rsid w:val="00F71B74"/>
    <w:rsid w:val="00F71F00"/>
    <w:rsid w:val="00F71FAE"/>
    <w:rsid w:val="00F720C8"/>
    <w:rsid w:val="00F7249D"/>
    <w:rsid w:val="00F72886"/>
    <w:rsid w:val="00F72DF3"/>
    <w:rsid w:val="00F73508"/>
    <w:rsid w:val="00F7380B"/>
    <w:rsid w:val="00F740B5"/>
    <w:rsid w:val="00F742F4"/>
    <w:rsid w:val="00F74442"/>
    <w:rsid w:val="00F745D6"/>
    <w:rsid w:val="00F747D1"/>
    <w:rsid w:val="00F747DE"/>
    <w:rsid w:val="00F74B53"/>
    <w:rsid w:val="00F74F2A"/>
    <w:rsid w:val="00F755F2"/>
    <w:rsid w:val="00F756E4"/>
    <w:rsid w:val="00F75FAE"/>
    <w:rsid w:val="00F76556"/>
    <w:rsid w:val="00F766AE"/>
    <w:rsid w:val="00F76EA0"/>
    <w:rsid w:val="00F77F46"/>
    <w:rsid w:val="00F80C71"/>
    <w:rsid w:val="00F81105"/>
    <w:rsid w:val="00F81B41"/>
    <w:rsid w:val="00F81FA9"/>
    <w:rsid w:val="00F820EE"/>
    <w:rsid w:val="00F8226A"/>
    <w:rsid w:val="00F82745"/>
    <w:rsid w:val="00F82826"/>
    <w:rsid w:val="00F82B2D"/>
    <w:rsid w:val="00F83D83"/>
    <w:rsid w:val="00F84AEF"/>
    <w:rsid w:val="00F850E9"/>
    <w:rsid w:val="00F8564B"/>
    <w:rsid w:val="00F86397"/>
    <w:rsid w:val="00F86FD4"/>
    <w:rsid w:val="00F8745A"/>
    <w:rsid w:val="00F87649"/>
    <w:rsid w:val="00F877AB"/>
    <w:rsid w:val="00F87A15"/>
    <w:rsid w:val="00F87B67"/>
    <w:rsid w:val="00F87BD1"/>
    <w:rsid w:val="00F90047"/>
    <w:rsid w:val="00F91032"/>
    <w:rsid w:val="00F91218"/>
    <w:rsid w:val="00F91E9A"/>
    <w:rsid w:val="00F92887"/>
    <w:rsid w:val="00F92956"/>
    <w:rsid w:val="00F92B3A"/>
    <w:rsid w:val="00F934E9"/>
    <w:rsid w:val="00F938F6"/>
    <w:rsid w:val="00F93900"/>
    <w:rsid w:val="00F93B34"/>
    <w:rsid w:val="00F946C6"/>
    <w:rsid w:val="00F947FB"/>
    <w:rsid w:val="00F94EB9"/>
    <w:rsid w:val="00F95029"/>
    <w:rsid w:val="00F950AB"/>
    <w:rsid w:val="00F953D9"/>
    <w:rsid w:val="00F95545"/>
    <w:rsid w:val="00F95E0D"/>
    <w:rsid w:val="00F965C2"/>
    <w:rsid w:val="00F96727"/>
    <w:rsid w:val="00F9686F"/>
    <w:rsid w:val="00F96E20"/>
    <w:rsid w:val="00F9757B"/>
    <w:rsid w:val="00FA035A"/>
    <w:rsid w:val="00FA0CE7"/>
    <w:rsid w:val="00FA17A5"/>
    <w:rsid w:val="00FA1DDB"/>
    <w:rsid w:val="00FA1DEF"/>
    <w:rsid w:val="00FA20B0"/>
    <w:rsid w:val="00FA21B5"/>
    <w:rsid w:val="00FA26B4"/>
    <w:rsid w:val="00FA297A"/>
    <w:rsid w:val="00FA2C3F"/>
    <w:rsid w:val="00FA2C64"/>
    <w:rsid w:val="00FA2C68"/>
    <w:rsid w:val="00FA3074"/>
    <w:rsid w:val="00FA4502"/>
    <w:rsid w:val="00FA61FB"/>
    <w:rsid w:val="00FA62B8"/>
    <w:rsid w:val="00FA652A"/>
    <w:rsid w:val="00FA685A"/>
    <w:rsid w:val="00FA696B"/>
    <w:rsid w:val="00FA69CD"/>
    <w:rsid w:val="00FA6DD4"/>
    <w:rsid w:val="00FA701C"/>
    <w:rsid w:val="00FA7419"/>
    <w:rsid w:val="00FA7598"/>
    <w:rsid w:val="00FA7861"/>
    <w:rsid w:val="00FB0095"/>
    <w:rsid w:val="00FB05C9"/>
    <w:rsid w:val="00FB08E5"/>
    <w:rsid w:val="00FB0E41"/>
    <w:rsid w:val="00FB1515"/>
    <w:rsid w:val="00FB1759"/>
    <w:rsid w:val="00FB2490"/>
    <w:rsid w:val="00FB34BC"/>
    <w:rsid w:val="00FB3639"/>
    <w:rsid w:val="00FB394A"/>
    <w:rsid w:val="00FB3B6F"/>
    <w:rsid w:val="00FB3ED3"/>
    <w:rsid w:val="00FB40E8"/>
    <w:rsid w:val="00FB417F"/>
    <w:rsid w:val="00FB41AE"/>
    <w:rsid w:val="00FB4677"/>
    <w:rsid w:val="00FB50D0"/>
    <w:rsid w:val="00FB5796"/>
    <w:rsid w:val="00FB5954"/>
    <w:rsid w:val="00FB5B07"/>
    <w:rsid w:val="00FB621E"/>
    <w:rsid w:val="00FB6350"/>
    <w:rsid w:val="00FB6411"/>
    <w:rsid w:val="00FB6707"/>
    <w:rsid w:val="00FB6816"/>
    <w:rsid w:val="00FB6A17"/>
    <w:rsid w:val="00FB6E1A"/>
    <w:rsid w:val="00FB6FE6"/>
    <w:rsid w:val="00FC0073"/>
    <w:rsid w:val="00FC0299"/>
    <w:rsid w:val="00FC0491"/>
    <w:rsid w:val="00FC07EC"/>
    <w:rsid w:val="00FC0E36"/>
    <w:rsid w:val="00FC0F7A"/>
    <w:rsid w:val="00FC12BC"/>
    <w:rsid w:val="00FC147E"/>
    <w:rsid w:val="00FC150A"/>
    <w:rsid w:val="00FC27AC"/>
    <w:rsid w:val="00FC2B61"/>
    <w:rsid w:val="00FC3012"/>
    <w:rsid w:val="00FC3233"/>
    <w:rsid w:val="00FC3E47"/>
    <w:rsid w:val="00FC49D1"/>
    <w:rsid w:val="00FC53D6"/>
    <w:rsid w:val="00FC564A"/>
    <w:rsid w:val="00FC564E"/>
    <w:rsid w:val="00FC567D"/>
    <w:rsid w:val="00FC56AA"/>
    <w:rsid w:val="00FC57C8"/>
    <w:rsid w:val="00FC6C7E"/>
    <w:rsid w:val="00FC6C86"/>
    <w:rsid w:val="00FC7144"/>
    <w:rsid w:val="00FC7301"/>
    <w:rsid w:val="00FC7661"/>
    <w:rsid w:val="00FC7741"/>
    <w:rsid w:val="00FC7F16"/>
    <w:rsid w:val="00FC7F4A"/>
    <w:rsid w:val="00FD0032"/>
    <w:rsid w:val="00FD08B6"/>
    <w:rsid w:val="00FD09A5"/>
    <w:rsid w:val="00FD0ADA"/>
    <w:rsid w:val="00FD0ECE"/>
    <w:rsid w:val="00FD1064"/>
    <w:rsid w:val="00FD1860"/>
    <w:rsid w:val="00FD1940"/>
    <w:rsid w:val="00FD1A2D"/>
    <w:rsid w:val="00FD24DE"/>
    <w:rsid w:val="00FD37D6"/>
    <w:rsid w:val="00FD3CB7"/>
    <w:rsid w:val="00FD3D4F"/>
    <w:rsid w:val="00FD42C1"/>
    <w:rsid w:val="00FD4A9F"/>
    <w:rsid w:val="00FD4AAD"/>
    <w:rsid w:val="00FD4BE5"/>
    <w:rsid w:val="00FD4CB5"/>
    <w:rsid w:val="00FD4F62"/>
    <w:rsid w:val="00FD5227"/>
    <w:rsid w:val="00FD5477"/>
    <w:rsid w:val="00FD565D"/>
    <w:rsid w:val="00FD565F"/>
    <w:rsid w:val="00FD582A"/>
    <w:rsid w:val="00FD5859"/>
    <w:rsid w:val="00FD5A46"/>
    <w:rsid w:val="00FD61F2"/>
    <w:rsid w:val="00FD70F9"/>
    <w:rsid w:val="00FD746C"/>
    <w:rsid w:val="00FE053C"/>
    <w:rsid w:val="00FE1910"/>
    <w:rsid w:val="00FE1952"/>
    <w:rsid w:val="00FE1CEA"/>
    <w:rsid w:val="00FE1FCE"/>
    <w:rsid w:val="00FE2C83"/>
    <w:rsid w:val="00FE2CCF"/>
    <w:rsid w:val="00FE2D98"/>
    <w:rsid w:val="00FE2F98"/>
    <w:rsid w:val="00FE3A91"/>
    <w:rsid w:val="00FE3C14"/>
    <w:rsid w:val="00FE3E0D"/>
    <w:rsid w:val="00FE4622"/>
    <w:rsid w:val="00FE48CF"/>
    <w:rsid w:val="00FE504D"/>
    <w:rsid w:val="00FE540A"/>
    <w:rsid w:val="00FE5526"/>
    <w:rsid w:val="00FE59BC"/>
    <w:rsid w:val="00FE59F7"/>
    <w:rsid w:val="00FE5E54"/>
    <w:rsid w:val="00FE60E5"/>
    <w:rsid w:val="00FE665F"/>
    <w:rsid w:val="00FE68BC"/>
    <w:rsid w:val="00FE6E36"/>
    <w:rsid w:val="00FE6E93"/>
    <w:rsid w:val="00FE6E9B"/>
    <w:rsid w:val="00FE6F23"/>
    <w:rsid w:val="00FE7103"/>
    <w:rsid w:val="00FE71F0"/>
    <w:rsid w:val="00FE77C5"/>
    <w:rsid w:val="00FE7F23"/>
    <w:rsid w:val="00FF04FC"/>
    <w:rsid w:val="00FF217B"/>
    <w:rsid w:val="00FF28C5"/>
    <w:rsid w:val="00FF2AD3"/>
    <w:rsid w:val="00FF2BFD"/>
    <w:rsid w:val="00FF2CEB"/>
    <w:rsid w:val="00FF3017"/>
    <w:rsid w:val="00FF31A9"/>
    <w:rsid w:val="00FF3272"/>
    <w:rsid w:val="00FF370A"/>
    <w:rsid w:val="00FF3A65"/>
    <w:rsid w:val="00FF4551"/>
    <w:rsid w:val="00FF4F02"/>
    <w:rsid w:val="00FF5235"/>
    <w:rsid w:val="00FF575E"/>
    <w:rsid w:val="00FF57DD"/>
    <w:rsid w:val="00FF5A02"/>
    <w:rsid w:val="00FF5AB5"/>
    <w:rsid w:val="00FF5D63"/>
    <w:rsid w:val="00FF61C0"/>
    <w:rsid w:val="00FF6274"/>
    <w:rsid w:val="00FF6764"/>
    <w:rsid w:val="00FF7506"/>
    <w:rsid w:val="00FF7549"/>
    <w:rsid w:val="04F15CAC"/>
    <w:rsid w:val="06E01941"/>
    <w:rsid w:val="153E5D02"/>
    <w:rsid w:val="19602C5A"/>
    <w:rsid w:val="1D13437B"/>
    <w:rsid w:val="21A7055E"/>
    <w:rsid w:val="2DDB671C"/>
    <w:rsid w:val="2F5F0B77"/>
    <w:rsid w:val="3AD65514"/>
    <w:rsid w:val="50EF1E1F"/>
    <w:rsid w:val="55661EDB"/>
    <w:rsid w:val="56AA353D"/>
    <w:rsid w:val="56CC14F3"/>
    <w:rsid w:val="65F12FD0"/>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Light" w:hAnsi="Calibri Light"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42"/>
    <w:qFormat/>
    <w:uiPriority w:val="9"/>
    <w:pPr>
      <w:pBdr>
        <w:top w:val="single" w:color="0F6FC6" w:sz="24" w:space="0"/>
        <w:left w:val="single" w:color="0F6FC6" w:sz="24" w:space="0"/>
        <w:bottom w:val="single" w:color="0F6FC6" w:sz="24" w:space="0"/>
        <w:right w:val="single" w:color="0F6FC6" w:sz="24" w:space="0"/>
      </w:pBdr>
      <w:shd w:val="clear" w:color="auto" w:fill="0F6FC6"/>
      <w:outlineLvl w:val="0"/>
    </w:pPr>
    <w:rPr>
      <w:caps/>
      <w:color w:val="FFFFFF"/>
      <w:spacing w:val="15"/>
      <w:sz w:val="22"/>
      <w:szCs w:val="22"/>
      <w:lang w:val="zh-CN"/>
    </w:rPr>
  </w:style>
  <w:style w:type="paragraph" w:styleId="3">
    <w:name w:val="heading 2"/>
    <w:basedOn w:val="1"/>
    <w:next w:val="1"/>
    <w:link w:val="43"/>
    <w:qFormat/>
    <w:uiPriority w:val="9"/>
    <w:pPr>
      <w:pBdr>
        <w:top w:val="single" w:color="C7E2FA" w:sz="24" w:space="0"/>
        <w:left w:val="single" w:color="C7E2FA" w:sz="24" w:space="0"/>
        <w:bottom w:val="single" w:color="C7E2FA" w:sz="24" w:space="0"/>
        <w:right w:val="single" w:color="C7E2FA" w:sz="24" w:space="0"/>
      </w:pBdr>
      <w:shd w:val="clear" w:color="auto" w:fill="C7E2FA"/>
      <w:outlineLvl w:val="1"/>
    </w:pPr>
    <w:rPr>
      <w:caps/>
      <w:spacing w:val="15"/>
      <w:lang w:val="zh-CN"/>
    </w:rPr>
  </w:style>
  <w:style w:type="paragraph" w:styleId="4">
    <w:name w:val="heading 3"/>
    <w:basedOn w:val="1"/>
    <w:next w:val="1"/>
    <w:link w:val="44"/>
    <w:qFormat/>
    <w:uiPriority w:val="9"/>
    <w:pPr>
      <w:pBdr>
        <w:top w:val="single" w:color="0F6FC6" w:sz="6" w:space="2"/>
      </w:pBdr>
      <w:spacing w:before="300"/>
      <w:outlineLvl w:val="2"/>
    </w:pPr>
    <w:rPr>
      <w:caps/>
      <w:color w:val="073662"/>
      <w:spacing w:val="15"/>
      <w:lang w:val="zh-CN"/>
    </w:rPr>
  </w:style>
  <w:style w:type="paragraph" w:styleId="5">
    <w:name w:val="heading 4"/>
    <w:basedOn w:val="1"/>
    <w:next w:val="1"/>
    <w:link w:val="45"/>
    <w:qFormat/>
    <w:uiPriority w:val="9"/>
    <w:pPr>
      <w:pBdr>
        <w:top w:val="dotted" w:color="0F6FC6" w:sz="6" w:space="2"/>
      </w:pBdr>
      <w:spacing w:before="200"/>
      <w:outlineLvl w:val="3"/>
    </w:pPr>
    <w:rPr>
      <w:caps/>
      <w:color w:val="0B5294"/>
      <w:spacing w:val="10"/>
      <w:lang w:val="zh-CN"/>
    </w:rPr>
  </w:style>
  <w:style w:type="paragraph" w:styleId="6">
    <w:name w:val="heading 5"/>
    <w:basedOn w:val="1"/>
    <w:next w:val="1"/>
    <w:link w:val="46"/>
    <w:qFormat/>
    <w:uiPriority w:val="9"/>
    <w:pPr>
      <w:pBdr>
        <w:bottom w:val="single" w:color="0F6FC6" w:sz="6" w:space="1"/>
      </w:pBdr>
      <w:spacing w:before="200"/>
      <w:outlineLvl w:val="4"/>
    </w:pPr>
    <w:rPr>
      <w:caps/>
      <w:color w:val="0B5294"/>
      <w:spacing w:val="10"/>
      <w:lang w:val="zh-CN"/>
    </w:rPr>
  </w:style>
  <w:style w:type="paragraph" w:styleId="7">
    <w:name w:val="heading 6"/>
    <w:basedOn w:val="1"/>
    <w:next w:val="1"/>
    <w:link w:val="47"/>
    <w:qFormat/>
    <w:uiPriority w:val="9"/>
    <w:pPr>
      <w:pBdr>
        <w:bottom w:val="dotted" w:color="0F6FC6" w:sz="6" w:space="1"/>
      </w:pBdr>
      <w:spacing w:before="200"/>
      <w:outlineLvl w:val="5"/>
    </w:pPr>
    <w:rPr>
      <w:caps/>
      <w:color w:val="0B5294"/>
      <w:spacing w:val="10"/>
      <w:lang w:val="zh-CN"/>
    </w:rPr>
  </w:style>
  <w:style w:type="paragraph" w:styleId="8">
    <w:name w:val="heading 7"/>
    <w:basedOn w:val="1"/>
    <w:next w:val="1"/>
    <w:link w:val="48"/>
    <w:qFormat/>
    <w:uiPriority w:val="9"/>
    <w:pPr>
      <w:spacing w:before="200"/>
      <w:outlineLvl w:val="6"/>
    </w:pPr>
    <w:rPr>
      <w:caps/>
      <w:color w:val="0B5294"/>
      <w:spacing w:val="10"/>
      <w:lang w:val="zh-CN"/>
    </w:rPr>
  </w:style>
  <w:style w:type="paragraph" w:styleId="9">
    <w:name w:val="heading 8"/>
    <w:basedOn w:val="1"/>
    <w:next w:val="1"/>
    <w:link w:val="49"/>
    <w:qFormat/>
    <w:uiPriority w:val="9"/>
    <w:pPr>
      <w:spacing w:before="200"/>
      <w:outlineLvl w:val="7"/>
    </w:pPr>
    <w:rPr>
      <w:caps/>
      <w:spacing w:val="10"/>
      <w:sz w:val="18"/>
      <w:szCs w:val="18"/>
      <w:lang w:val="zh-CN"/>
    </w:rPr>
  </w:style>
  <w:style w:type="paragraph" w:styleId="10">
    <w:name w:val="heading 9"/>
    <w:basedOn w:val="1"/>
    <w:next w:val="1"/>
    <w:link w:val="50"/>
    <w:qFormat/>
    <w:uiPriority w:val="9"/>
    <w:pPr>
      <w:spacing w:before="200"/>
      <w:outlineLvl w:val="8"/>
    </w:pPr>
    <w:rPr>
      <w:i/>
      <w:iCs/>
      <w:caps/>
      <w:spacing w:val="10"/>
      <w:sz w:val="18"/>
      <w:szCs w:val="18"/>
      <w:lang w:val="zh-CN"/>
    </w:rPr>
  </w:style>
  <w:style w:type="character" w:default="1" w:styleId="36">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00"/>
    </w:pPr>
    <w:rPr>
      <w:rFonts w:asciiTheme="minorHAnsi" w:hAnsiTheme="minorHAnsi"/>
      <w:sz w:val="18"/>
      <w:szCs w:val="18"/>
    </w:rPr>
  </w:style>
  <w:style w:type="paragraph" w:styleId="12">
    <w:name w:val="caption"/>
    <w:basedOn w:val="1"/>
    <w:next w:val="1"/>
    <w:link w:val="53"/>
    <w:qFormat/>
    <w:uiPriority w:val="0"/>
    <w:pPr>
      <w:spacing w:before="50" w:beforeLines="50" w:after="50" w:afterLines="50"/>
      <w:jc w:val="center"/>
    </w:pPr>
    <w:rPr>
      <w:rFonts w:ascii="Times New Roman" w:hAnsi="Times New Roman" w:eastAsia="黑体"/>
      <w:b/>
      <w:bCs/>
      <w:sz w:val="21"/>
      <w:szCs w:val="16"/>
    </w:rPr>
  </w:style>
  <w:style w:type="paragraph" w:styleId="13">
    <w:name w:val="Document Map"/>
    <w:basedOn w:val="1"/>
    <w:link w:val="54"/>
    <w:unhideWhenUsed/>
    <w:qFormat/>
    <w:uiPriority w:val="99"/>
    <w:rPr>
      <w:sz w:val="18"/>
      <w:szCs w:val="18"/>
      <w:lang w:val="zh-CN"/>
    </w:rPr>
  </w:style>
  <w:style w:type="paragraph" w:styleId="14">
    <w:name w:val="annotation text"/>
    <w:basedOn w:val="1"/>
    <w:link w:val="51"/>
    <w:unhideWhenUsed/>
    <w:qFormat/>
    <w:uiPriority w:val="99"/>
  </w:style>
  <w:style w:type="paragraph" w:styleId="15">
    <w:name w:val="toc 5"/>
    <w:basedOn w:val="1"/>
    <w:next w:val="1"/>
    <w:unhideWhenUsed/>
    <w:qFormat/>
    <w:uiPriority w:val="39"/>
    <w:pPr>
      <w:ind w:left="800"/>
    </w:pPr>
    <w:rPr>
      <w:rFonts w:asciiTheme="minorHAnsi" w:hAnsiTheme="minorHAnsi"/>
      <w:sz w:val="18"/>
      <w:szCs w:val="18"/>
    </w:rPr>
  </w:style>
  <w:style w:type="paragraph" w:styleId="16">
    <w:name w:val="toc 3"/>
    <w:basedOn w:val="1"/>
    <w:next w:val="1"/>
    <w:unhideWhenUsed/>
    <w:qFormat/>
    <w:uiPriority w:val="39"/>
    <w:pPr>
      <w:spacing w:line="360" w:lineRule="auto"/>
      <w:ind w:firstLine="400" w:firstLineChars="400"/>
    </w:pPr>
    <w:rPr>
      <w:rFonts w:ascii="Times New Roman" w:hAnsi="Times New Roman"/>
      <w:iCs/>
      <w:color w:val="0F6FC6" w:themeColor="accent5"/>
      <w14:textFill>
        <w14:solidFill>
          <w14:schemeClr w14:val="accent5"/>
        </w14:solidFill>
      </w14:textFill>
    </w:rPr>
  </w:style>
  <w:style w:type="paragraph" w:styleId="17">
    <w:name w:val="toc 8"/>
    <w:basedOn w:val="1"/>
    <w:next w:val="1"/>
    <w:unhideWhenUsed/>
    <w:qFormat/>
    <w:uiPriority w:val="39"/>
    <w:pPr>
      <w:ind w:left="1400"/>
    </w:pPr>
    <w:rPr>
      <w:rFonts w:asciiTheme="minorHAnsi" w:hAnsiTheme="minorHAnsi"/>
      <w:sz w:val="18"/>
      <w:szCs w:val="18"/>
    </w:rPr>
  </w:style>
  <w:style w:type="paragraph" w:styleId="18">
    <w:name w:val="Balloon Text"/>
    <w:basedOn w:val="1"/>
    <w:link w:val="55"/>
    <w:unhideWhenUsed/>
    <w:qFormat/>
    <w:uiPriority w:val="99"/>
    <w:rPr>
      <w:sz w:val="18"/>
      <w:szCs w:val="18"/>
      <w:lang w:val="zh-CN"/>
    </w:rPr>
  </w:style>
  <w:style w:type="paragraph" w:styleId="19">
    <w:name w:val="footer"/>
    <w:basedOn w:val="1"/>
    <w:link w:val="56"/>
    <w:unhideWhenUsed/>
    <w:qFormat/>
    <w:uiPriority w:val="99"/>
    <w:pPr>
      <w:tabs>
        <w:tab w:val="center" w:pos="4153"/>
        <w:tab w:val="right" w:pos="8306"/>
      </w:tabs>
      <w:snapToGrid w:val="0"/>
    </w:pPr>
    <w:rPr>
      <w:sz w:val="18"/>
      <w:szCs w:val="18"/>
      <w:lang w:val="zh-CN"/>
    </w:rPr>
  </w:style>
  <w:style w:type="paragraph" w:styleId="20">
    <w:name w:val="header"/>
    <w:basedOn w:val="1"/>
    <w:link w:val="57"/>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21">
    <w:name w:val="toc 1"/>
    <w:basedOn w:val="1"/>
    <w:next w:val="1"/>
    <w:unhideWhenUsed/>
    <w:qFormat/>
    <w:uiPriority w:val="39"/>
    <w:pPr>
      <w:spacing w:line="360" w:lineRule="auto"/>
    </w:pPr>
    <w:rPr>
      <w:rFonts w:ascii="Times New Roman" w:hAnsi="Times New Roman"/>
      <w:b/>
      <w:bCs/>
      <w:caps/>
      <w:color w:val="0F6FC6" w:themeColor="accent5"/>
      <w:sz w:val="28"/>
      <w14:textFill>
        <w14:solidFill>
          <w14:schemeClr w14:val="accent5"/>
        </w14:solidFill>
      </w14:textFill>
    </w:rPr>
  </w:style>
  <w:style w:type="paragraph" w:styleId="22">
    <w:name w:val="toc 4"/>
    <w:basedOn w:val="1"/>
    <w:next w:val="1"/>
    <w:unhideWhenUsed/>
    <w:qFormat/>
    <w:uiPriority w:val="39"/>
    <w:pPr>
      <w:ind w:left="600"/>
    </w:pPr>
    <w:rPr>
      <w:rFonts w:asciiTheme="minorHAnsi" w:hAnsiTheme="minorHAnsi"/>
      <w:sz w:val="18"/>
      <w:szCs w:val="18"/>
    </w:rPr>
  </w:style>
  <w:style w:type="paragraph" w:styleId="23">
    <w:name w:val="Subtitle"/>
    <w:basedOn w:val="1"/>
    <w:next w:val="1"/>
    <w:link w:val="58"/>
    <w:qFormat/>
    <w:uiPriority w:val="11"/>
    <w:pPr>
      <w:spacing w:after="500"/>
    </w:pPr>
    <w:rPr>
      <w:caps/>
      <w:color w:val="595959"/>
      <w:spacing w:val="10"/>
      <w:sz w:val="21"/>
      <w:szCs w:val="21"/>
      <w:lang w:val="zh-CN"/>
    </w:rPr>
  </w:style>
  <w:style w:type="paragraph" w:styleId="24">
    <w:name w:val="footnote text"/>
    <w:basedOn w:val="1"/>
    <w:link w:val="59"/>
    <w:unhideWhenUsed/>
    <w:qFormat/>
    <w:uiPriority w:val="0"/>
    <w:pPr>
      <w:snapToGrid w:val="0"/>
    </w:pPr>
    <w:rPr>
      <w:sz w:val="18"/>
      <w:szCs w:val="18"/>
      <w:lang w:val="zh-CN"/>
    </w:rPr>
  </w:style>
  <w:style w:type="paragraph" w:styleId="25">
    <w:name w:val="toc 6"/>
    <w:basedOn w:val="1"/>
    <w:next w:val="1"/>
    <w:unhideWhenUsed/>
    <w:qFormat/>
    <w:uiPriority w:val="39"/>
    <w:pPr>
      <w:ind w:left="1000"/>
    </w:pPr>
    <w:rPr>
      <w:rFonts w:asciiTheme="minorHAnsi" w:hAnsiTheme="minorHAnsi"/>
      <w:sz w:val="18"/>
      <w:szCs w:val="18"/>
    </w:rPr>
  </w:style>
  <w:style w:type="paragraph" w:styleId="26">
    <w:name w:val="table of figures"/>
    <w:basedOn w:val="1"/>
    <w:next w:val="1"/>
    <w:unhideWhenUsed/>
    <w:qFormat/>
    <w:uiPriority w:val="99"/>
    <w:pPr>
      <w:ind w:left="200" w:leftChars="200" w:hanging="200" w:hangingChars="200"/>
    </w:pPr>
    <w:rPr>
      <w:rFonts w:ascii="Times New Roman" w:hAnsi="Times New Roman"/>
    </w:rPr>
  </w:style>
  <w:style w:type="paragraph" w:styleId="27">
    <w:name w:val="toc 2"/>
    <w:basedOn w:val="1"/>
    <w:next w:val="1"/>
    <w:unhideWhenUsed/>
    <w:qFormat/>
    <w:uiPriority w:val="39"/>
    <w:pPr>
      <w:spacing w:line="360" w:lineRule="auto"/>
      <w:ind w:firstLine="200" w:firstLineChars="200"/>
    </w:pPr>
    <w:rPr>
      <w:rFonts w:ascii="Times New Roman" w:hAnsi="Times New Roman"/>
      <w:smallCaps/>
      <w:color w:val="0F6FC6" w:themeColor="accent5"/>
      <w14:textFill>
        <w14:solidFill>
          <w14:schemeClr w14:val="accent5"/>
        </w14:solidFill>
      </w14:textFill>
    </w:rPr>
  </w:style>
  <w:style w:type="paragraph" w:styleId="28">
    <w:name w:val="toc 9"/>
    <w:basedOn w:val="1"/>
    <w:next w:val="1"/>
    <w:unhideWhenUsed/>
    <w:qFormat/>
    <w:uiPriority w:val="39"/>
    <w:pPr>
      <w:ind w:left="1600"/>
    </w:pPr>
    <w:rPr>
      <w:rFonts w:asciiTheme="minorHAnsi" w:hAnsiTheme="minorHAnsi"/>
      <w:sz w:val="18"/>
      <w:szCs w:val="18"/>
    </w:rPr>
  </w:style>
  <w:style w:type="paragraph" w:styleId="29">
    <w:name w:val="Normal (Web)"/>
    <w:basedOn w:val="1"/>
    <w:unhideWhenUsed/>
    <w:qFormat/>
    <w:uiPriority w:val="99"/>
    <w:pPr>
      <w:spacing w:beforeAutospacing="1" w:after="100" w:afterAutospacing="1"/>
    </w:pPr>
  </w:style>
  <w:style w:type="paragraph" w:styleId="30">
    <w:name w:val="Title"/>
    <w:basedOn w:val="1"/>
    <w:next w:val="1"/>
    <w:link w:val="60"/>
    <w:qFormat/>
    <w:uiPriority w:val="10"/>
    <w:rPr>
      <w:caps/>
      <w:color w:val="0F6FC6"/>
      <w:spacing w:val="10"/>
      <w:sz w:val="52"/>
      <w:szCs w:val="52"/>
      <w:lang w:val="zh-CN"/>
    </w:rPr>
  </w:style>
  <w:style w:type="paragraph" w:styleId="31">
    <w:name w:val="annotation subject"/>
    <w:basedOn w:val="14"/>
    <w:next w:val="14"/>
    <w:link w:val="52"/>
    <w:unhideWhenUsed/>
    <w:qFormat/>
    <w:uiPriority w:val="99"/>
    <w:rPr>
      <w:b/>
      <w:bCs/>
      <w:lang w:val="zh-CN"/>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Theme"/>
    <w:basedOn w:val="32"/>
    <w:qFormat/>
    <w:uiPriority w:val="0"/>
    <w:pPr>
      <w:widowControl w:val="0"/>
      <w:spacing w:before="100" w:beforeAutospacing="1" w:after="100" w:afterAutospacing="1" w:line="360" w:lineRule="auto"/>
      <w:ind w:firstLine="200" w:firstLineChars="200"/>
      <w:jc w:val="center"/>
    </w:pPr>
    <w:rPr>
      <w:rFonts w:ascii="Times New Roman" w:hAnsi="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rPr>
      <w:tblPr/>
      <w:trPr>
        <w:tblHeader/>
      </w:trPr>
      <w:tcPr>
        <w:shd w:val="clear" w:color="auto" w:fill="99CCFF"/>
      </w:tcPr>
    </w:tblStylePr>
  </w:style>
  <w:style w:type="table" w:styleId="35">
    <w:name w:val="Light Shading Accent 5"/>
    <w:basedOn w:val="32"/>
    <w:qFormat/>
    <w:uiPriority w:val="6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37">
    <w:name w:val="Strong"/>
    <w:qFormat/>
    <w:uiPriority w:val="22"/>
    <w:rPr>
      <w:b/>
      <w:bCs/>
    </w:rPr>
  </w:style>
  <w:style w:type="character" w:styleId="38">
    <w:name w:val="Emphasis"/>
    <w:qFormat/>
    <w:uiPriority w:val="20"/>
    <w:rPr>
      <w:caps/>
      <w:color w:val="073662"/>
      <w:spacing w:val="5"/>
    </w:rPr>
  </w:style>
  <w:style w:type="character" w:styleId="39">
    <w:name w:val="Hyperlink"/>
    <w:unhideWhenUsed/>
    <w:qFormat/>
    <w:uiPriority w:val="99"/>
    <w:rPr>
      <w:color w:val="0000FF"/>
      <w:u w:val="single"/>
    </w:rPr>
  </w:style>
  <w:style w:type="character" w:styleId="40">
    <w:name w:val="annotation reference"/>
    <w:unhideWhenUsed/>
    <w:qFormat/>
    <w:uiPriority w:val="99"/>
    <w:rPr>
      <w:sz w:val="21"/>
      <w:szCs w:val="21"/>
    </w:rPr>
  </w:style>
  <w:style w:type="character" w:styleId="41">
    <w:name w:val="footnote reference"/>
    <w:unhideWhenUsed/>
    <w:qFormat/>
    <w:uiPriority w:val="99"/>
    <w:rPr>
      <w:vertAlign w:val="superscript"/>
    </w:rPr>
  </w:style>
  <w:style w:type="character" w:customStyle="1" w:styleId="42">
    <w:name w:val="标题 1 字符"/>
    <w:link w:val="2"/>
    <w:qFormat/>
    <w:uiPriority w:val="9"/>
    <w:rPr>
      <w:caps/>
      <w:color w:val="FFFFFF"/>
      <w:spacing w:val="15"/>
      <w:sz w:val="22"/>
      <w:szCs w:val="22"/>
      <w:shd w:val="clear" w:color="auto" w:fill="0F6FC6"/>
    </w:rPr>
  </w:style>
  <w:style w:type="character" w:customStyle="1" w:styleId="43">
    <w:name w:val="标题 2 字符"/>
    <w:link w:val="3"/>
    <w:qFormat/>
    <w:uiPriority w:val="9"/>
    <w:rPr>
      <w:caps/>
      <w:spacing w:val="15"/>
      <w:shd w:val="clear" w:color="auto" w:fill="C7E2FA"/>
    </w:rPr>
  </w:style>
  <w:style w:type="character" w:customStyle="1" w:styleId="44">
    <w:name w:val="标题 3 字符"/>
    <w:link w:val="4"/>
    <w:qFormat/>
    <w:uiPriority w:val="9"/>
    <w:rPr>
      <w:caps/>
      <w:color w:val="073662"/>
      <w:spacing w:val="15"/>
    </w:rPr>
  </w:style>
  <w:style w:type="character" w:customStyle="1" w:styleId="45">
    <w:name w:val="标题 4 字符"/>
    <w:link w:val="5"/>
    <w:qFormat/>
    <w:uiPriority w:val="9"/>
    <w:rPr>
      <w:caps/>
      <w:color w:val="0B5294"/>
      <w:spacing w:val="10"/>
    </w:rPr>
  </w:style>
  <w:style w:type="character" w:customStyle="1" w:styleId="46">
    <w:name w:val="标题 5 字符"/>
    <w:link w:val="6"/>
    <w:qFormat/>
    <w:uiPriority w:val="9"/>
    <w:rPr>
      <w:caps/>
      <w:color w:val="0B5294"/>
      <w:spacing w:val="10"/>
    </w:rPr>
  </w:style>
  <w:style w:type="character" w:customStyle="1" w:styleId="47">
    <w:name w:val="标题 6 字符"/>
    <w:link w:val="7"/>
    <w:qFormat/>
    <w:uiPriority w:val="9"/>
    <w:rPr>
      <w:caps/>
      <w:color w:val="0B5294"/>
      <w:spacing w:val="10"/>
    </w:rPr>
  </w:style>
  <w:style w:type="character" w:customStyle="1" w:styleId="48">
    <w:name w:val="标题 7 字符"/>
    <w:link w:val="8"/>
    <w:qFormat/>
    <w:uiPriority w:val="9"/>
    <w:rPr>
      <w:caps/>
      <w:color w:val="0B5294"/>
      <w:spacing w:val="10"/>
    </w:rPr>
  </w:style>
  <w:style w:type="character" w:customStyle="1" w:styleId="49">
    <w:name w:val="标题 8 字符"/>
    <w:link w:val="9"/>
    <w:qFormat/>
    <w:uiPriority w:val="9"/>
    <w:rPr>
      <w:caps/>
      <w:spacing w:val="10"/>
      <w:sz w:val="18"/>
      <w:szCs w:val="18"/>
    </w:rPr>
  </w:style>
  <w:style w:type="character" w:customStyle="1" w:styleId="50">
    <w:name w:val="标题 9 字符"/>
    <w:link w:val="10"/>
    <w:qFormat/>
    <w:uiPriority w:val="9"/>
    <w:rPr>
      <w:i/>
      <w:iCs/>
      <w:caps/>
      <w:spacing w:val="10"/>
      <w:sz w:val="18"/>
      <w:szCs w:val="18"/>
    </w:rPr>
  </w:style>
  <w:style w:type="character" w:customStyle="1" w:styleId="51">
    <w:name w:val="批注文字 字符"/>
    <w:basedOn w:val="36"/>
    <w:link w:val="14"/>
    <w:qFormat/>
    <w:uiPriority w:val="99"/>
  </w:style>
  <w:style w:type="character" w:customStyle="1" w:styleId="52">
    <w:name w:val="批注主题 字符"/>
    <w:link w:val="31"/>
    <w:qFormat/>
    <w:uiPriority w:val="99"/>
    <w:rPr>
      <w:b/>
      <w:bCs/>
    </w:rPr>
  </w:style>
  <w:style w:type="character" w:customStyle="1" w:styleId="53">
    <w:name w:val="题注 字符"/>
    <w:basedOn w:val="36"/>
    <w:link w:val="12"/>
    <w:qFormat/>
    <w:uiPriority w:val="0"/>
    <w:rPr>
      <w:rFonts w:ascii="Times New Roman" w:hAnsi="Times New Roman" w:eastAsia="黑体"/>
      <w:b/>
      <w:bCs/>
      <w:sz w:val="21"/>
      <w:szCs w:val="16"/>
    </w:rPr>
  </w:style>
  <w:style w:type="character" w:customStyle="1" w:styleId="54">
    <w:name w:val="文档结构图 字符"/>
    <w:link w:val="13"/>
    <w:qFormat/>
    <w:uiPriority w:val="99"/>
    <w:rPr>
      <w:rFonts w:ascii="宋体" w:eastAsia="宋体"/>
      <w:sz w:val="18"/>
      <w:szCs w:val="18"/>
    </w:rPr>
  </w:style>
  <w:style w:type="character" w:customStyle="1" w:styleId="55">
    <w:name w:val="批注框文本 字符"/>
    <w:link w:val="18"/>
    <w:qFormat/>
    <w:uiPriority w:val="99"/>
    <w:rPr>
      <w:sz w:val="18"/>
      <w:szCs w:val="18"/>
    </w:rPr>
  </w:style>
  <w:style w:type="character" w:customStyle="1" w:styleId="56">
    <w:name w:val="页脚 字符"/>
    <w:link w:val="19"/>
    <w:qFormat/>
    <w:uiPriority w:val="99"/>
    <w:rPr>
      <w:sz w:val="18"/>
      <w:szCs w:val="18"/>
    </w:rPr>
  </w:style>
  <w:style w:type="character" w:customStyle="1" w:styleId="57">
    <w:name w:val="页眉 字符"/>
    <w:link w:val="20"/>
    <w:qFormat/>
    <w:uiPriority w:val="99"/>
    <w:rPr>
      <w:sz w:val="18"/>
      <w:szCs w:val="18"/>
    </w:rPr>
  </w:style>
  <w:style w:type="character" w:customStyle="1" w:styleId="58">
    <w:name w:val="副标题 字符"/>
    <w:link w:val="23"/>
    <w:qFormat/>
    <w:uiPriority w:val="11"/>
    <w:rPr>
      <w:caps/>
      <w:color w:val="595959"/>
      <w:spacing w:val="10"/>
      <w:sz w:val="21"/>
      <w:szCs w:val="21"/>
    </w:rPr>
  </w:style>
  <w:style w:type="character" w:customStyle="1" w:styleId="59">
    <w:name w:val="脚注文本 字符"/>
    <w:link w:val="24"/>
    <w:qFormat/>
    <w:uiPriority w:val="0"/>
    <w:rPr>
      <w:sz w:val="18"/>
      <w:szCs w:val="18"/>
    </w:rPr>
  </w:style>
  <w:style w:type="character" w:customStyle="1" w:styleId="60">
    <w:name w:val="标题 字符"/>
    <w:link w:val="30"/>
    <w:qFormat/>
    <w:uiPriority w:val="10"/>
    <w:rPr>
      <w:rFonts w:ascii="Calibri Light" w:hAnsi="Calibri Light" w:eastAsia="宋体" w:cs="Times New Roman"/>
      <w:caps/>
      <w:color w:val="0F6FC6"/>
      <w:spacing w:val="10"/>
      <w:sz w:val="52"/>
      <w:szCs w:val="52"/>
    </w:rPr>
  </w:style>
  <w:style w:type="character" w:customStyle="1" w:styleId="61">
    <w:name w:val="明显强调1"/>
    <w:qFormat/>
    <w:uiPriority w:val="21"/>
    <w:rPr>
      <w:b/>
      <w:bCs/>
      <w:caps/>
      <w:color w:val="073662"/>
      <w:spacing w:val="10"/>
    </w:rPr>
  </w:style>
  <w:style w:type="character" w:customStyle="1" w:styleId="62">
    <w:name w:val="报告正文样式 Char"/>
    <w:link w:val="63"/>
    <w:qFormat/>
    <w:uiPriority w:val="0"/>
    <w:rPr>
      <w:rFonts w:ascii="宋体" w:hAnsi="宋体" w:cs="宋体"/>
      <w:color w:val="000000"/>
      <w:kern w:val="0"/>
      <w:sz w:val="24"/>
      <w:szCs w:val="21"/>
    </w:rPr>
  </w:style>
  <w:style w:type="paragraph" w:customStyle="1" w:styleId="63">
    <w:name w:val="报告正文样式"/>
    <w:basedOn w:val="1"/>
    <w:link w:val="62"/>
    <w:qFormat/>
    <w:uiPriority w:val="0"/>
    <w:pPr>
      <w:spacing w:beforeLines="50" w:afterLines="50" w:line="360" w:lineRule="auto"/>
      <w:ind w:firstLine="480" w:firstLineChars="200"/>
    </w:pPr>
    <w:rPr>
      <w:color w:val="000000"/>
      <w:szCs w:val="21"/>
      <w:lang w:val="zh-CN"/>
    </w:rPr>
  </w:style>
  <w:style w:type="character" w:customStyle="1" w:styleId="64">
    <w:name w:val="明显参考1"/>
    <w:qFormat/>
    <w:uiPriority w:val="32"/>
    <w:rPr>
      <w:b/>
      <w:bCs/>
      <w:i/>
      <w:iCs/>
      <w:caps/>
      <w:color w:val="0F6FC6"/>
    </w:rPr>
  </w:style>
  <w:style w:type="character" w:customStyle="1" w:styleId="65">
    <w:name w:val="中图标 Char"/>
    <w:link w:val="66"/>
    <w:qFormat/>
    <w:uiPriority w:val="0"/>
    <w:rPr>
      <w:rFonts w:ascii="Times New Roman" w:hAnsi="Times New Roman" w:eastAsia="黑体" w:cs="Times New Roman"/>
      <w:szCs w:val="21"/>
    </w:rPr>
  </w:style>
  <w:style w:type="paragraph" w:customStyle="1" w:styleId="66">
    <w:name w:val="中图标"/>
    <w:basedOn w:val="67"/>
    <w:link w:val="65"/>
    <w:qFormat/>
    <w:uiPriority w:val="0"/>
  </w:style>
  <w:style w:type="paragraph" w:customStyle="1" w:styleId="67">
    <w:name w:val="图标题"/>
    <w:basedOn w:val="1"/>
    <w:link w:val="68"/>
    <w:qFormat/>
    <w:uiPriority w:val="0"/>
    <w:pPr>
      <w:spacing w:afterLines="50"/>
      <w:ind w:firstLine="422" w:firstLineChars="200"/>
      <w:jc w:val="center"/>
    </w:pPr>
    <w:rPr>
      <w:rFonts w:ascii="Times New Roman" w:hAnsi="Times New Roman" w:eastAsia="黑体"/>
      <w:szCs w:val="21"/>
      <w:lang w:val="zh-CN"/>
    </w:rPr>
  </w:style>
  <w:style w:type="character" w:customStyle="1" w:styleId="68">
    <w:name w:val="图标题 Char"/>
    <w:link w:val="67"/>
    <w:qFormat/>
    <w:uiPriority w:val="0"/>
    <w:rPr>
      <w:rFonts w:ascii="Times New Roman" w:hAnsi="Times New Roman" w:eastAsia="黑体" w:cs="Times New Roman"/>
      <w:szCs w:val="21"/>
    </w:rPr>
  </w:style>
  <w:style w:type="character" w:customStyle="1" w:styleId="69">
    <w:name w:val="不明显强调1"/>
    <w:qFormat/>
    <w:uiPriority w:val="19"/>
    <w:rPr>
      <w:i/>
      <w:iCs/>
      <w:color w:val="073662"/>
    </w:rPr>
  </w:style>
  <w:style w:type="character" w:customStyle="1" w:styleId="70">
    <w:name w:val="西华二级标题 Char"/>
    <w:link w:val="71"/>
    <w:qFormat/>
    <w:uiPriority w:val="0"/>
    <w:rPr>
      <w:rFonts w:ascii="Times New Roman" w:hAnsi="Times New Roman" w:eastAsia="黑体" w:cs="Times New Roman"/>
      <w:b/>
      <w:bCs/>
      <w:color w:val="000000"/>
      <w:sz w:val="30"/>
      <w:szCs w:val="30"/>
    </w:rPr>
  </w:style>
  <w:style w:type="paragraph" w:customStyle="1" w:styleId="71">
    <w:name w:val="西华二级标题"/>
    <w:basedOn w:val="72"/>
    <w:link w:val="70"/>
    <w:qFormat/>
    <w:uiPriority w:val="0"/>
    <w:pPr>
      <w:tabs>
        <w:tab w:val="left" w:pos="4770"/>
      </w:tabs>
      <w:spacing w:before="312" w:beforeLines="100" w:after="312" w:afterLines="100" w:line="240" w:lineRule="auto"/>
    </w:pPr>
    <w:rPr>
      <w:rFonts w:ascii="Times New Roman" w:hAnsi="Times New Roman"/>
    </w:rPr>
  </w:style>
  <w:style w:type="paragraph" w:customStyle="1" w:styleId="72">
    <w:name w:val="新报告二级"/>
    <w:basedOn w:val="1"/>
    <w:link w:val="73"/>
    <w:qFormat/>
    <w:uiPriority w:val="0"/>
    <w:pPr>
      <w:spacing w:beforeLines="50" w:afterLines="50" w:line="360" w:lineRule="auto"/>
      <w:outlineLvl w:val="1"/>
    </w:pPr>
    <w:rPr>
      <w:rFonts w:ascii="黑体" w:hAnsi="黑体" w:eastAsia="黑体"/>
      <w:b/>
      <w:bCs/>
      <w:color w:val="000000"/>
      <w:sz w:val="30"/>
      <w:szCs w:val="30"/>
      <w:lang w:val="zh-CN"/>
    </w:rPr>
  </w:style>
  <w:style w:type="character" w:customStyle="1" w:styleId="73">
    <w:name w:val="新报告二级 Char"/>
    <w:link w:val="72"/>
    <w:qFormat/>
    <w:uiPriority w:val="0"/>
    <w:rPr>
      <w:rFonts w:ascii="黑体" w:hAnsi="黑体" w:eastAsia="黑体" w:cs="Times New Roman"/>
      <w:b/>
      <w:bCs/>
      <w:color w:val="000000"/>
      <w:sz w:val="30"/>
      <w:szCs w:val="30"/>
    </w:rPr>
  </w:style>
  <w:style w:type="character" w:customStyle="1" w:styleId="74">
    <w:name w:val="明显引用 Char"/>
    <w:link w:val="75"/>
    <w:qFormat/>
    <w:uiPriority w:val="30"/>
    <w:rPr>
      <w:color w:val="0F6FC6"/>
      <w:sz w:val="24"/>
      <w:szCs w:val="24"/>
    </w:rPr>
  </w:style>
  <w:style w:type="paragraph" w:customStyle="1" w:styleId="75">
    <w:name w:val="明显引用1"/>
    <w:basedOn w:val="1"/>
    <w:next w:val="1"/>
    <w:link w:val="74"/>
    <w:uiPriority w:val="30"/>
    <w:pPr>
      <w:spacing w:before="240" w:after="240"/>
      <w:ind w:left="1080" w:right="1080"/>
      <w:jc w:val="center"/>
    </w:pPr>
    <w:rPr>
      <w:color w:val="0F6FC6"/>
      <w:lang w:val="zh-CN"/>
    </w:rPr>
  </w:style>
  <w:style w:type="character" w:customStyle="1" w:styleId="76">
    <w:name w:val="报告四级样式 Char"/>
    <w:link w:val="77"/>
    <w:qFormat/>
    <w:uiPriority w:val="0"/>
    <w:rPr>
      <w:rFonts w:ascii="黑体" w:hAnsi="黑体" w:eastAsia="黑体" w:cs="Times New Roman"/>
      <w:b/>
      <w:bCs/>
      <w:sz w:val="26"/>
      <w:szCs w:val="26"/>
    </w:rPr>
  </w:style>
  <w:style w:type="paragraph" w:customStyle="1" w:styleId="77">
    <w:name w:val="报告四级样式"/>
    <w:basedOn w:val="1"/>
    <w:link w:val="76"/>
    <w:qFormat/>
    <w:uiPriority w:val="0"/>
    <w:pPr>
      <w:spacing w:before="260" w:afterLines="50" w:line="415" w:lineRule="auto"/>
      <w:ind w:firstLine="512" w:firstLineChars="196"/>
      <w:outlineLvl w:val="1"/>
    </w:pPr>
    <w:rPr>
      <w:rFonts w:ascii="黑体" w:hAnsi="黑体" w:eastAsia="黑体"/>
      <w:b/>
      <w:bCs/>
      <w:sz w:val="26"/>
      <w:szCs w:val="26"/>
      <w:lang w:val="zh-CN"/>
    </w:rPr>
  </w:style>
  <w:style w:type="character" w:customStyle="1" w:styleId="78">
    <w:name w:val="南开大学正文 Char"/>
    <w:link w:val="79"/>
    <w:qFormat/>
    <w:uiPriority w:val="0"/>
    <w:rPr>
      <w:rFonts w:ascii="宋体" w:hAnsi="宋体" w:eastAsia="宋体" w:cs="Times New Roman"/>
      <w:sz w:val="24"/>
      <w:szCs w:val="24"/>
    </w:rPr>
  </w:style>
  <w:style w:type="paragraph" w:customStyle="1" w:styleId="79">
    <w:name w:val="南开大学正文"/>
    <w:basedOn w:val="1"/>
    <w:link w:val="78"/>
    <w:qFormat/>
    <w:uiPriority w:val="0"/>
    <w:pPr>
      <w:adjustRightInd w:val="0"/>
      <w:snapToGrid w:val="0"/>
      <w:spacing w:beforeLines="50" w:afterLines="50" w:line="360" w:lineRule="auto"/>
      <w:ind w:firstLine="480" w:firstLineChars="200"/>
      <w:jc w:val="both"/>
    </w:pPr>
    <w:rPr>
      <w:lang w:val="zh-CN"/>
    </w:rPr>
  </w:style>
  <w:style w:type="character" w:customStyle="1" w:styleId="80">
    <w:name w:val="报告三级标题 Char"/>
    <w:link w:val="81"/>
    <w:qFormat/>
    <w:uiPriority w:val="0"/>
    <w:rPr>
      <w:rFonts w:ascii="黑体" w:hAnsi="黑体" w:eastAsia="黑体" w:cs="Times New Roman"/>
      <w:b/>
      <w:bCs/>
      <w:kern w:val="2"/>
      <w:sz w:val="24"/>
      <w:szCs w:val="24"/>
    </w:rPr>
  </w:style>
  <w:style w:type="paragraph" w:customStyle="1" w:styleId="81">
    <w:name w:val="报告三级标题"/>
    <w:basedOn w:val="1"/>
    <w:link w:val="80"/>
    <w:qFormat/>
    <w:uiPriority w:val="0"/>
    <w:pPr>
      <w:widowControl w:val="0"/>
      <w:spacing w:before="260" w:after="163" w:afterLines="50" w:line="415" w:lineRule="auto"/>
      <w:jc w:val="both"/>
      <w:outlineLvl w:val="1"/>
    </w:pPr>
    <w:rPr>
      <w:rFonts w:ascii="黑体" w:hAnsi="黑体" w:eastAsia="黑体"/>
      <w:b/>
      <w:bCs/>
      <w:kern w:val="2"/>
      <w:lang w:val="zh-CN"/>
    </w:rPr>
  </w:style>
  <w:style w:type="character" w:customStyle="1" w:styleId="82">
    <w:name w:val="不明显参考1"/>
    <w:qFormat/>
    <w:uiPriority w:val="31"/>
    <w:rPr>
      <w:b/>
      <w:bCs/>
      <w:color w:val="0F6FC6"/>
    </w:rPr>
  </w:style>
  <w:style w:type="character" w:customStyle="1" w:styleId="83">
    <w:name w:val="zisiblack21"/>
    <w:qFormat/>
    <w:uiPriority w:val="0"/>
    <w:rPr>
      <w:rFonts w:hint="default" w:ascii="ˎ̥" w:hAnsi="ˎ̥"/>
      <w:color w:val="000000"/>
      <w:sz w:val="21"/>
      <w:szCs w:val="21"/>
    </w:rPr>
  </w:style>
  <w:style w:type="character" w:customStyle="1" w:styleId="84">
    <w:name w:val="图表标题 Char"/>
    <w:link w:val="85"/>
    <w:qFormat/>
    <w:locked/>
    <w:uiPriority w:val="0"/>
    <w:rPr>
      <w:rFonts w:ascii="Times New Roman" w:hAnsi="Times New Roman" w:eastAsia="宋体" w:cs="Times New Roman"/>
      <w:kern w:val="2"/>
      <w:sz w:val="21"/>
      <w:szCs w:val="21"/>
    </w:rPr>
  </w:style>
  <w:style w:type="paragraph" w:customStyle="1" w:styleId="85">
    <w:name w:val="图表标题"/>
    <w:basedOn w:val="1"/>
    <w:link w:val="84"/>
    <w:qFormat/>
    <w:uiPriority w:val="0"/>
    <w:pPr>
      <w:widowControl w:val="0"/>
      <w:spacing w:afterLines="50" w:line="360" w:lineRule="auto"/>
      <w:ind w:firstLine="422" w:firstLineChars="200"/>
      <w:jc w:val="center"/>
    </w:pPr>
    <w:rPr>
      <w:rFonts w:ascii="Times New Roman" w:hAnsi="Times New Roman"/>
      <w:kern w:val="2"/>
      <w:sz w:val="21"/>
      <w:szCs w:val="21"/>
      <w:lang w:val="zh-CN"/>
    </w:rPr>
  </w:style>
  <w:style w:type="character" w:customStyle="1" w:styleId="86">
    <w:name w:val="报告一级标题样式 Char"/>
    <w:link w:val="87"/>
    <w:qFormat/>
    <w:uiPriority w:val="0"/>
    <w:rPr>
      <w:rFonts w:ascii="黑体" w:hAnsi="黑体" w:eastAsia="黑体" w:cs="Times New Roman"/>
      <w:caps/>
      <w:color w:val="000000"/>
      <w:spacing w:val="15"/>
      <w:kern w:val="44"/>
      <w:sz w:val="32"/>
      <w:szCs w:val="32"/>
      <w:shd w:val="clear" w:color="auto" w:fill="0F6FC6"/>
    </w:rPr>
  </w:style>
  <w:style w:type="paragraph" w:customStyle="1" w:styleId="87">
    <w:name w:val="报告一级标题样式"/>
    <w:basedOn w:val="2"/>
    <w:link w:val="86"/>
    <w:qFormat/>
    <w:uiPriority w:val="0"/>
    <w:pPr>
      <w:spacing w:after="50" w:line="360" w:lineRule="auto"/>
      <w:jc w:val="center"/>
    </w:pPr>
    <w:rPr>
      <w:rFonts w:ascii="黑体" w:hAnsi="黑体" w:eastAsia="黑体"/>
      <w:color w:val="000000"/>
      <w:kern w:val="44"/>
      <w:sz w:val="32"/>
      <w:szCs w:val="32"/>
    </w:rPr>
  </w:style>
  <w:style w:type="character" w:customStyle="1" w:styleId="88">
    <w:name w:val="新报告三级 Char"/>
    <w:link w:val="89"/>
    <w:qFormat/>
    <w:uiPriority w:val="0"/>
    <w:rPr>
      <w:rFonts w:ascii="黑体" w:hAnsi="黑体" w:eastAsia="黑体" w:cs="Times New Roman"/>
      <w:b/>
      <w:bCs/>
      <w:kern w:val="2"/>
      <w:sz w:val="28"/>
      <w:szCs w:val="28"/>
    </w:rPr>
  </w:style>
  <w:style w:type="paragraph" w:customStyle="1" w:styleId="89">
    <w:name w:val="新报告三级"/>
    <w:basedOn w:val="1"/>
    <w:link w:val="88"/>
    <w:qFormat/>
    <w:uiPriority w:val="0"/>
    <w:pPr>
      <w:widowControl w:val="0"/>
      <w:spacing w:before="260" w:afterLines="50" w:line="415" w:lineRule="auto"/>
      <w:jc w:val="both"/>
      <w:outlineLvl w:val="1"/>
    </w:pPr>
    <w:rPr>
      <w:rFonts w:ascii="黑体" w:hAnsi="黑体" w:eastAsia="黑体"/>
      <w:b/>
      <w:bCs/>
      <w:kern w:val="2"/>
      <w:sz w:val="28"/>
      <w:szCs w:val="28"/>
      <w:lang w:val="zh-CN"/>
    </w:rPr>
  </w:style>
  <w:style w:type="character" w:customStyle="1" w:styleId="90">
    <w:name w:val="南开三级 Char"/>
    <w:link w:val="91"/>
    <w:qFormat/>
    <w:locked/>
    <w:uiPriority w:val="0"/>
    <w:rPr>
      <w:rFonts w:ascii="黑体" w:hAnsi="黑体" w:eastAsia="黑体" w:cs="Times New Roman"/>
      <w:b/>
      <w:bCs/>
      <w:kern w:val="0"/>
      <w:sz w:val="28"/>
      <w:szCs w:val="28"/>
    </w:rPr>
  </w:style>
  <w:style w:type="paragraph" w:customStyle="1" w:styleId="91">
    <w:name w:val="南开三级"/>
    <w:basedOn w:val="4"/>
    <w:link w:val="90"/>
    <w:qFormat/>
    <w:uiPriority w:val="0"/>
    <w:pPr>
      <w:spacing w:before="240" w:afterLines="50" w:line="412" w:lineRule="auto"/>
    </w:pPr>
    <w:rPr>
      <w:rFonts w:ascii="黑体" w:hAnsi="黑体" w:eastAsia="黑体"/>
      <w:b/>
      <w:bCs/>
      <w:caps w:val="0"/>
      <w:color w:val="auto"/>
      <w:spacing w:val="0"/>
      <w:sz w:val="28"/>
      <w:szCs w:val="28"/>
    </w:rPr>
  </w:style>
  <w:style w:type="character" w:customStyle="1" w:styleId="92">
    <w:name w:val="无间隔 Char"/>
    <w:link w:val="93"/>
    <w:qFormat/>
    <w:uiPriority w:val="1"/>
    <w:rPr>
      <w:lang w:val="en-US" w:eastAsia="zh-CN" w:bidi="ar-SA"/>
    </w:rPr>
  </w:style>
  <w:style w:type="paragraph" w:customStyle="1" w:styleId="93">
    <w:name w:val="无间隔1"/>
    <w:link w:val="92"/>
    <w:qFormat/>
    <w:uiPriority w:val="1"/>
    <w:pPr>
      <w:spacing w:before="100"/>
    </w:pPr>
    <w:rPr>
      <w:rFonts w:ascii="Calibri Light" w:hAnsi="Calibri Light" w:eastAsia="宋体" w:cs="Times New Roman"/>
      <w:lang w:val="en-US" w:eastAsia="zh-CN" w:bidi="ar-SA"/>
    </w:rPr>
  </w:style>
  <w:style w:type="character" w:customStyle="1" w:styleId="94">
    <w:name w:val="引用 Char"/>
    <w:link w:val="95"/>
    <w:qFormat/>
    <w:uiPriority w:val="29"/>
    <w:rPr>
      <w:i/>
      <w:iCs/>
      <w:sz w:val="24"/>
      <w:szCs w:val="24"/>
    </w:rPr>
  </w:style>
  <w:style w:type="paragraph" w:customStyle="1" w:styleId="95">
    <w:name w:val="引用1"/>
    <w:basedOn w:val="1"/>
    <w:next w:val="1"/>
    <w:link w:val="94"/>
    <w:qFormat/>
    <w:uiPriority w:val="29"/>
    <w:rPr>
      <w:i/>
      <w:iCs/>
      <w:lang w:val="zh-CN"/>
    </w:rPr>
  </w:style>
  <w:style w:type="character" w:customStyle="1" w:styleId="96">
    <w:name w:val="书籍标题1"/>
    <w:qFormat/>
    <w:uiPriority w:val="33"/>
    <w:rPr>
      <w:b/>
      <w:bCs/>
      <w:i/>
      <w:iCs/>
      <w:spacing w:val="0"/>
    </w:rPr>
  </w:style>
  <w:style w:type="character" w:customStyle="1" w:styleId="97">
    <w:name w:val="样式1 Char"/>
    <w:link w:val="98"/>
    <w:qFormat/>
    <w:uiPriority w:val="0"/>
    <w:rPr>
      <w:caps/>
      <w:color w:val="FFFFFF"/>
      <w:spacing w:val="15"/>
      <w:sz w:val="40"/>
      <w:szCs w:val="22"/>
      <w:shd w:val="clear" w:color="auto" w:fill="0F6FC6"/>
    </w:rPr>
  </w:style>
  <w:style w:type="paragraph" w:customStyle="1" w:styleId="98">
    <w:name w:val="样式1"/>
    <w:basedOn w:val="2"/>
    <w:link w:val="97"/>
    <w:qFormat/>
    <w:uiPriority w:val="0"/>
    <w:pPr>
      <w:jc w:val="center"/>
    </w:pPr>
    <w:rPr>
      <w:sz w:val="40"/>
    </w:rPr>
  </w:style>
  <w:style w:type="character" w:customStyle="1" w:styleId="99">
    <w:name w:val="南开图标 Char"/>
    <w:link w:val="100"/>
    <w:qFormat/>
    <w:uiPriority w:val="0"/>
    <w:rPr>
      <w:rFonts w:ascii="黑体" w:hAnsi="黑体" w:eastAsia="黑体" w:cs="Times New Roman"/>
      <w:sz w:val="21"/>
      <w:szCs w:val="21"/>
    </w:rPr>
  </w:style>
  <w:style w:type="paragraph" w:customStyle="1" w:styleId="100">
    <w:name w:val="南开图标"/>
    <w:basedOn w:val="1"/>
    <w:link w:val="99"/>
    <w:qFormat/>
    <w:uiPriority w:val="0"/>
    <w:pPr>
      <w:adjustRightInd w:val="0"/>
      <w:snapToGrid w:val="0"/>
      <w:spacing w:afterLines="50"/>
      <w:ind w:firstLine="422" w:firstLineChars="200"/>
      <w:jc w:val="center"/>
    </w:pPr>
    <w:rPr>
      <w:rFonts w:ascii="黑体" w:hAnsi="黑体" w:eastAsia="黑体"/>
      <w:sz w:val="21"/>
      <w:szCs w:val="21"/>
      <w:lang w:val="zh-CN"/>
    </w:rPr>
  </w:style>
  <w:style w:type="character" w:customStyle="1" w:styleId="101">
    <w:name w:val="南开二级标题 Char"/>
    <w:link w:val="102"/>
    <w:qFormat/>
    <w:uiPriority w:val="0"/>
    <w:rPr>
      <w:rFonts w:ascii="黑体" w:hAnsi="黑体" w:eastAsia="黑体" w:cs="Times New Roman"/>
      <w:b/>
      <w:bCs/>
      <w:sz w:val="30"/>
      <w:szCs w:val="30"/>
    </w:rPr>
  </w:style>
  <w:style w:type="paragraph" w:customStyle="1" w:styleId="102">
    <w:name w:val="南开二级标题"/>
    <w:basedOn w:val="3"/>
    <w:link w:val="101"/>
    <w:qFormat/>
    <w:uiPriority w:val="0"/>
    <w:pPr>
      <w:widowControl w:val="0"/>
      <w:pBdr>
        <w:top w:val="none" w:color="auto" w:sz="0" w:space="0"/>
        <w:left w:val="none" w:color="auto" w:sz="0" w:space="0"/>
        <w:bottom w:val="none" w:color="auto" w:sz="0" w:space="0"/>
        <w:right w:val="none" w:color="auto" w:sz="0" w:space="0"/>
      </w:pBdr>
      <w:shd w:val="clear" w:color="auto" w:fill="auto"/>
      <w:spacing w:beforeLines="50" w:afterLines="50" w:line="360" w:lineRule="auto"/>
      <w:jc w:val="both"/>
    </w:pPr>
    <w:rPr>
      <w:rFonts w:ascii="黑体" w:hAnsi="黑体" w:eastAsia="黑体"/>
      <w:b/>
      <w:bCs/>
      <w:caps w:val="0"/>
      <w:spacing w:val="0"/>
      <w:sz w:val="30"/>
      <w:szCs w:val="30"/>
    </w:rPr>
  </w:style>
  <w:style w:type="character" w:customStyle="1" w:styleId="103">
    <w:name w:val="图表标注 Char"/>
    <w:link w:val="104"/>
    <w:qFormat/>
    <w:uiPriority w:val="0"/>
    <w:rPr>
      <w:rFonts w:ascii="黑体" w:hAnsi="黑体" w:eastAsia="黑体" w:cs="Times New Roman"/>
      <w:kern w:val="2"/>
      <w:sz w:val="21"/>
      <w:szCs w:val="21"/>
    </w:rPr>
  </w:style>
  <w:style w:type="paragraph" w:customStyle="1" w:styleId="104">
    <w:name w:val="图表标注"/>
    <w:basedOn w:val="1"/>
    <w:link w:val="103"/>
    <w:qFormat/>
    <w:uiPriority w:val="0"/>
    <w:pPr>
      <w:widowControl w:val="0"/>
      <w:spacing w:before="200"/>
      <w:ind w:firstLine="420"/>
      <w:jc w:val="center"/>
    </w:pPr>
    <w:rPr>
      <w:rFonts w:ascii="黑体" w:hAnsi="黑体" w:eastAsia="黑体"/>
      <w:kern w:val="2"/>
      <w:sz w:val="21"/>
      <w:szCs w:val="21"/>
      <w:lang w:val="zh-CN"/>
    </w:rPr>
  </w:style>
  <w:style w:type="character" w:customStyle="1" w:styleId="105">
    <w:name w:val="西华三级标题 Char"/>
    <w:link w:val="106"/>
    <w:qFormat/>
    <w:uiPriority w:val="0"/>
    <w:rPr>
      <w:rFonts w:ascii="Times New Roman" w:hAnsi="Times New Roman" w:eastAsia="黑体" w:cs="Times New Roman"/>
      <w:b/>
      <w:bCs/>
      <w:color w:val="000000"/>
      <w:sz w:val="28"/>
      <w:szCs w:val="30"/>
    </w:rPr>
  </w:style>
  <w:style w:type="paragraph" w:customStyle="1" w:styleId="106">
    <w:name w:val="西华三级标题"/>
    <w:basedOn w:val="72"/>
    <w:link w:val="105"/>
    <w:qFormat/>
    <w:uiPriority w:val="0"/>
    <w:pPr>
      <w:spacing w:before="156" w:after="156" w:line="240" w:lineRule="auto"/>
      <w:outlineLvl w:val="2"/>
    </w:pPr>
    <w:rPr>
      <w:rFonts w:ascii="Times New Roman" w:hAnsi="Times New Roman"/>
      <w:sz w:val="28"/>
    </w:rPr>
  </w:style>
  <w:style w:type="paragraph" w:customStyle="1" w:styleId="107">
    <w:name w:val="我的报告3级"/>
    <w:basedOn w:val="1"/>
    <w:qFormat/>
    <w:uiPriority w:val="0"/>
    <w:pPr>
      <w:keepNext/>
      <w:widowControl w:val="0"/>
      <w:spacing w:beforeLines="100" w:afterLines="100" w:line="400" w:lineRule="exact"/>
      <w:outlineLvl w:val="2"/>
    </w:pPr>
    <w:rPr>
      <w:rFonts w:ascii="Time New Roman" w:hAnsi="Time New Roman" w:eastAsia="黑体"/>
      <w:b/>
      <w:bCs/>
      <w:color w:val="000000"/>
      <w:sz w:val="28"/>
      <w:szCs w:val="28"/>
    </w:rPr>
  </w:style>
  <w:style w:type="paragraph" w:customStyle="1" w:styleId="108">
    <w:name w:val="列出段落1"/>
    <w:basedOn w:val="1"/>
    <w:qFormat/>
    <w:uiPriority w:val="34"/>
    <w:pPr>
      <w:ind w:firstLine="420" w:firstLineChars="200"/>
    </w:pPr>
  </w:style>
  <w:style w:type="paragraph" w:customStyle="1" w:styleId="109">
    <w:name w:val="我的正文"/>
    <w:basedOn w:val="63"/>
    <w:qFormat/>
    <w:uiPriority w:val="0"/>
    <w:pPr>
      <w:spacing w:beforeLines="0" w:afterLines="0"/>
      <w:ind w:firstLine="200"/>
      <w:jc w:val="both"/>
    </w:pPr>
    <w:rPr>
      <w:rFonts w:ascii="Times New Roman" w:hAnsi="Times New Roman"/>
    </w:rPr>
  </w:style>
  <w:style w:type="paragraph" w:customStyle="1" w:styleId="110">
    <w:name w:val="TOC 标题1"/>
    <w:basedOn w:val="2"/>
    <w:next w:val="1"/>
    <w:qFormat/>
    <w:uiPriority w:val="39"/>
    <w:pPr>
      <w:outlineLvl w:val="9"/>
    </w:pPr>
  </w:style>
  <w:style w:type="table" w:customStyle="1" w:styleId="111">
    <w:name w:val="Grid Table 4 Accent 2"/>
    <w:basedOn w:val="32"/>
    <w:qFormat/>
    <w:uiPriority w:val="49"/>
    <w:tblPr>
      <w:tblBorders>
        <w:top w:val="single" w:color="4FCEFF" w:themeColor="accent2" w:themeTint="99" w:sz="4" w:space="0"/>
        <w:left w:val="single" w:color="4FCEFF" w:themeColor="accent2" w:themeTint="99" w:sz="4" w:space="0"/>
        <w:bottom w:val="single" w:color="4FCEFF" w:themeColor="accent2" w:themeTint="99" w:sz="4" w:space="0"/>
        <w:right w:val="single" w:color="4FCEFF" w:themeColor="accent2" w:themeTint="99" w:sz="4" w:space="0"/>
        <w:insideH w:val="single" w:color="4FCEFF" w:themeColor="accent2" w:themeTint="99" w:sz="4" w:space="0"/>
        <w:insideV w:val="single" w:color="4FCEFF" w:themeColor="accent2" w:themeTint="99" w:sz="4" w:space="0"/>
      </w:tblBorders>
    </w:tblPr>
    <w:tblStylePr w:type="firstRow">
      <w:rPr>
        <w:b/>
        <w:bCs/>
        <w:color w:val="FFFFFF" w:themeColor="background1"/>
        <w14:textFill>
          <w14:solidFill>
            <w14:schemeClr w14:val="bg1"/>
          </w14:solidFill>
        </w14:textFill>
      </w:rPr>
      <w:tcPr>
        <w:tcBorders>
          <w:top w:val="single" w:color="009DD9" w:themeColor="accent2" w:sz="4" w:space="0"/>
          <w:left w:val="single" w:color="009DD9" w:themeColor="accent2" w:sz="4" w:space="0"/>
          <w:bottom w:val="single" w:color="009DD9" w:themeColor="accent2" w:sz="4" w:space="0"/>
          <w:right w:val="single" w:color="009DD9" w:themeColor="accent2" w:sz="4" w:space="0"/>
          <w:insideH w:val="nil"/>
          <w:insideV w:val="nil"/>
        </w:tcBorders>
        <w:shd w:val="clear" w:color="auto" w:fill="009DD9" w:themeFill="accent2"/>
      </w:tcPr>
    </w:tblStylePr>
    <w:tblStylePr w:type="lastRow">
      <w:rPr>
        <w:b/>
        <w:bCs/>
      </w:rPr>
      <w:tcPr>
        <w:tcBorders>
          <w:top w:val="double" w:color="009DD9" w:themeColor="accent2" w:sz="4" w:space="0"/>
        </w:tcBorders>
      </w:tcPr>
    </w:tblStylePr>
    <w:tblStylePr w:type="firstCol">
      <w:rPr>
        <w:b/>
        <w:bCs/>
      </w:rPr>
    </w:tblStylePr>
    <w:tblStylePr w:type="lastCol">
      <w:rPr>
        <w:b/>
        <w:bCs/>
      </w:rPr>
    </w:tblStylePr>
    <w:tblStylePr w:type="band1Vert">
      <w:tcPr>
        <w:shd w:val="clear" w:color="auto" w:fill="C4EEFF" w:themeFill="accent2" w:themeFillTint="33"/>
      </w:tcPr>
    </w:tblStylePr>
    <w:tblStylePr w:type="band1Horz">
      <w:tcPr>
        <w:shd w:val="clear" w:color="auto" w:fill="C4EEFF" w:themeFill="accent2" w:themeFillTint="33"/>
      </w:tcPr>
    </w:tblStylePr>
  </w:style>
  <w:style w:type="paragraph" w:customStyle="1" w:styleId="112">
    <w:name w:val="L正文"/>
    <w:basedOn w:val="63"/>
    <w:link w:val="113"/>
    <w:qFormat/>
    <w:uiPriority w:val="0"/>
    <w:pPr>
      <w:spacing w:before="156" w:after="156"/>
      <w:jc w:val="both"/>
    </w:pPr>
    <w:rPr>
      <w:rFonts w:ascii="Times New Roman" w:hAnsi="Times New Roman"/>
      <w:szCs w:val="24"/>
    </w:rPr>
  </w:style>
  <w:style w:type="character" w:customStyle="1" w:styleId="113">
    <w:name w:val="L正文 Char"/>
    <w:basedOn w:val="62"/>
    <w:link w:val="112"/>
    <w:qFormat/>
    <w:uiPriority w:val="0"/>
    <w:rPr>
      <w:rFonts w:ascii="Times New Roman" w:hAnsi="Times New Roman" w:cs="宋体"/>
      <w:color w:val="000000"/>
      <w:kern w:val="0"/>
      <w:sz w:val="24"/>
      <w:szCs w:val="24"/>
      <w:lang w:val="zh-CN" w:eastAsia="zh-CN"/>
    </w:rPr>
  </w:style>
  <w:style w:type="paragraph" w:customStyle="1" w:styleId="114">
    <w:name w:val="L图表"/>
    <w:basedOn w:val="100"/>
    <w:link w:val="115"/>
    <w:qFormat/>
    <w:uiPriority w:val="0"/>
    <w:pPr>
      <w:spacing w:after="156"/>
    </w:pPr>
    <w:rPr>
      <w:b/>
    </w:rPr>
  </w:style>
  <w:style w:type="character" w:customStyle="1" w:styleId="115">
    <w:name w:val="L图表 Char"/>
    <w:basedOn w:val="99"/>
    <w:link w:val="114"/>
    <w:qFormat/>
    <w:uiPriority w:val="0"/>
    <w:rPr>
      <w:rFonts w:ascii="黑体" w:hAnsi="黑体" w:eastAsia="黑体" w:cs="Times New Roman"/>
      <w:b/>
      <w:sz w:val="21"/>
      <w:szCs w:val="21"/>
      <w:lang w:val="zh-CN" w:eastAsia="zh-CN"/>
    </w:rPr>
  </w:style>
  <w:style w:type="paragraph" w:customStyle="1" w:styleId="116">
    <w:name w:val="L表格"/>
    <w:basedOn w:val="63"/>
    <w:link w:val="117"/>
    <w:qFormat/>
    <w:uiPriority w:val="0"/>
    <w:pPr>
      <w:spacing w:beforeLines="0" w:afterLines="0" w:line="240" w:lineRule="auto"/>
      <w:ind w:firstLine="0" w:firstLineChars="0"/>
      <w:jc w:val="center"/>
    </w:pPr>
    <w:rPr>
      <w:rFonts w:ascii="Times New Roman" w:hAnsi="Times New Roman"/>
      <w:bCs/>
      <w:sz w:val="21"/>
    </w:rPr>
  </w:style>
  <w:style w:type="character" w:customStyle="1" w:styleId="117">
    <w:name w:val="L表格 Char"/>
    <w:basedOn w:val="62"/>
    <w:link w:val="116"/>
    <w:qFormat/>
    <w:uiPriority w:val="0"/>
    <w:rPr>
      <w:rFonts w:ascii="Times New Roman" w:hAnsi="Times New Roman" w:cs="宋体"/>
      <w:bCs/>
      <w:color w:val="000000"/>
      <w:kern w:val="0"/>
      <w:sz w:val="21"/>
      <w:szCs w:val="21"/>
      <w:lang w:val="zh-CN" w:eastAsia="zh-CN"/>
    </w:rPr>
  </w:style>
  <w:style w:type="paragraph" w:customStyle="1" w:styleId="118">
    <w:name w:val="注"/>
    <w:basedOn w:val="67"/>
    <w:link w:val="119"/>
    <w:qFormat/>
    <w:uiPriority w:val="0"/>
    <w:pPr>
      <w:spacing w:afterLines="0"/>
      <w:ind w:firstLine="200"/>
      <w:jc w:val="left"/>
    </w:pPr>
    <w:rPr>
      <w:rFonts w:eastAsia="宋体"/>
      <w:sz w:val="18"/>
      <w:szCs w:val="18"/>
    </w:rPr>
  </w:style>
  <w:style w:type="character" w:customStyle="1" w:styleId="119">
    <w:name w:val="注 Char"/>
    <w:basedOn w:val="68"/>
    <w:link w:val="118"/>
    <w:qFormat/>
    <w:uiPriority w:val="0"/>
    <w:rPr>
      <w:rFonts w:ascii="Times New Roman" w:hAnsi="Times New Roman" w:eastAsia="黑体" w:cs="Times New Roman"/>
      <w:sz w:val="18"/>
      <w:szCs w:val="18"/>
      <w:lang w:val="zh-CN"/>
    </w:rPr>
  </w:style>
  <w:style w:type="paragraph" w:customStyle="1" w:styleId="120">
    <w:name w:val="12131"/>
    <w:basedOn w:val="2"/>
    <w:link w:val="121"/>
    <w:qFormat/>
    <w:uiPriority w:val="0"/>
    <w:pPr>
      <w:spacing w:after="312" w:afterLines="100" w:line="360" w:lineRule="auto"/>
    </w:pPr>
    <w:rPr>
      <w:rFonts w:ascii="黑体" w:hAnsi="黑体" w:eastAsia="黑体"/>
      <w:b/>
      <w:sz w:val="36"/>
      <w:szCs w:val="36"/>
    </w:rPr>
  </w:style>
  <w:style w:type="character" w:customStyle="1" w:styleId="121">
    <w:name w:val="12131 Char"/>
    <w:basedOn w:val="42"/>
    <w:link w:val="120"/>
    <w:qFormat/>
    <w:uiPriority w:val="0"/>
    <w:rPr>
      <w:rFonts w:ascii="黑体" w:hAnsi="黑体" w:eastAsia="黑体"/>
      <w:b/>
      <w:color w:val="FFFFFF"/>
      <w:spacing w:val="15"/>
      <w:sz w:val="36"/>
      <w:szCs w:val="36"/>
      <w:shd w:val="clear" w:color="auto" w:fill="0F6FC6"/>
      <w:lang w:val="zh-CN" w:eastAsia="zh-CN"/>
    </w:rPr>
  </w:style>
  <w:style w:type="paragraph" w:customStyle="1" w:styleId="122">
    <w:name w:val="11111"/>
    <w:basedOn w:val="2"/>
    <w:link w:val="123"/>
    <w:qFormat/>
    <w:uiPriority w:val="0"/>
    <w:pPr>
      <w:jc w:val="center"/>
    </w:pPr>
    <w:rPr>
      <w:rFonts w:ascii="黑体" w:hAnsi="黑体" w:eastAsia="黑体"/>
      <w:b/>
      <w:sz w:val="36"/>
      <w:szCs w:val="36"/>
    </w:rPr>
  </w:style>
  <w:style w:type="character" w:customStyle="1" w:styleId="123">
    <w:name w:val="11111 Char"/>
    <w:basedOn w:val="42"/>
    <w:link w:val="122"/>
    <w:qFormat/>
    <w:uiPriority w:val="0"/>
    <w:rPr>
      <w:rFonts w:ascii="黑体" w:hAnsi="黑体" w:eastAsia="黑体"/>
      <w:b/>
      <w:color w:val="FFFFFF"/>
      <w:spacing w:val="15"/>
      <w:sz w:val="36"/>
      <w:szCs w:val="36"/>
      <w:shd w:val="clear" w:color="auto" w:fill="0F6FC6"/>
      <w:lang w:val="zh-CN" w:eastAsia="zh-CN"/>
    </w:rPr>
  </w:style>
  <w:style w:type="paragraph" w:customStyle="1" w:styleId="124">
    <w:name w:val="22222"/>
    <w:basedOn w:val="125"/>
    <w:link w:val="127"/>
    <w:qFormat/>
    <w:uiPriority w:val="0"/>
    <w:rPr>
      <w:shd w:val="clear" w:color="auto" w:fill="D8D8D8" w:themeFill="background1" w:themeFillShade="D9"/>
    </w:rPr>
  </w:style>
  <w:style w:type="paragraph" w:customStyle="1" w:styleId="125">
    <w:name w:val="333333"/>
    <w:basedOn w:val="106"/>
    <w:link w:val="126"/>
    <w:qFormat/>
    <w:uiPriority w:val="0"/>
  </w:style>
  <w:style w:type="character" w:customStyle="1" w:styleId="126">
    <w:name w:val="333333 Char"/>
    <w:basedOn w:val="105"/>
    <w:link w:val="125"/>
    <w:qFormat/>
    <w:uiPriority w:val="0"/>
    <w:rPr>
      <w:rFonts w:ascii="Times New Roman" w:hAnsi="Times New Roman" w:eastAsia="黑体" w:cs="Times New Roman"/>
      <w:color w:val="000000"/>
      <w:sz w:val="28"/>
      <w:szCs w:val="30"/>
      <w:lang w:val="zh-CN"/>
    </w:rPr>
  </w:style>
  <w:style w:type="character" w:customStyle="1" w:styleId="127">
    <w:name w:val="22222 Char"/>
    <w:basedOn w:val="70"/>
    <w:link w:val="124"/>
    <w:qFormat/>
    <w:uiPriority w:val="0"/>
    <w:rPr>
      <w:rFonts w:ascii="Times New Roman" w:hAnsi="Times New Roman" w:eastAsia="黑体" w:cs="Times New Roman"/>
      <w:color w:val="000000"/>
      <w:sz w:val="28"/>
      <w:szCs w:val="30"/>
      <w:lang w:val="zh-CN"/>
    </w:rPr>
  </w:style>
  <w:style w:type="table" w:customStyle="1" w:styleId="128">
    <w:name w:val="Grid Table 4 Accent 1"/>
    <w:basedOn w:val="32"/>
    <w:qFormat/>
    <w:uiPriority w:val="49"/>
    <w:tblP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Pr>
    <w:tblStylePr w:type="firstRow">
      <w:rPr>
        <w:b/>
        <w:bCs/>
        <w:color w:val="FFFFFF" w:themeColor="background1"/>
        <w14:textFill>
          <w14:solidFill>
            <w14:schemeClr w14:val="bg1"/>
          </w14:solidFill>
        </w14:textFill>
      </w:rPr>
      <w:tcPr>
        <w:tcBorders>
          <w:top w:val="single" w:color="0F6FC6" w:themeColor="accent1" w:sz="4" w:space="0"/>
          <w:left w:val="single" w:color="0F6FC6" w:themeColor="accent1" w:sz="4" w:space="0"/>
          <w:bottom w:val="single" w:color="0F6FC6" w:themeColor="accent1" w:sz="4" w:space="0"/>
          <w:right w:val="single" w:color="0F6FC6" w:themeColor="accent1" w:sz="4" w:space="0"/>
          <w:insideH w:val="nil"/>
          <w:insideV w:val="nil"/>
        </w:tcBorders>
        <w:shd w:val="clear" w:color="auto" w:fill="0F6FC6" w:themeFill="accent1"/>
      </w:tcPr>
    </w:tblStylePr>
    <w:tblStylePr w:type="lastRow">
      <w:rPr>
        <w:b/>
        <w:bCs/>
      </w:rPr>
      <w:tcPr>
        <w:tcBorders>
          <w:top w:val="double" w:color="0F6FC6" w:themeColor="accent1" w:sz="4" w:space="0"/>
        </w:tcBorders>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character" w:customStyle="1" w:styleId="129">
    <w:name w:val="图标题 Char Char"/>
    <w:qFormat/>
    <w:locked/>
    <w:uiPriority w:val="0"/>
    <w:rPr>
      <w:rFonts w:ascii="Times New Roman" w:hAnsi="Times New Roman" w:eastAsia="黑体" w:cs="Times New Roman"/>
      <w:szCs w:val="21"/>
    </w:rPr>
  </w:style>
  <w:style w:type="table" w:customStyle="1" w:styleId="130">
    <w:name w:val="Grid Table 4 Accent 5"/>
    <w:basedOn w:val="32"/>
    <w:qFormat/>
    <w:uiPriority w:val="49"/>
    <w:pPr>
      <w:jc w:val="center"/>
    </w:pPr>
    <w:rPr>
      <w:rFonts w:ascii="Times New Roman" w:hAnsi="Times New Roman"/>
    </w:rPr>
    <w:tblPr>
      <w:jc w:val="center"/>
      <w:tblBorders>
        <w:top w:val="single" w:color="59A9F2" w:themeColor="accent5" w:themeTint="99" w:sz="4" w:space="0"/>
        <w:left w:val="single" w:color="59A9F2" w:themeColor="accent5" w:themeTint="99" w:sz="4" w:space="0"/>
        <w:bottom w:val="single" w:color="59A9F2" w:themeColor="accent5" w:themeTint="99" w:sz="4" w:space="0"/>
        <w:right w:val="single" w:color="59A9F2" w:themeColor="accent5" w:themeTint="99" w:sz="4" w:space="0"/>
        <w:insideH w:val="single" w:color="59A9F2" w:themeColor="accent5" w:themeTint="99" w:sz="4" w:space="0"/>
        <w:insideV w:val="single" w:color="59A9F2"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cPr>
        <w:shd w:val="clear" w:color="auto" w:fill="59A9F2" w:themeFill="accent5" w:themeFillTint="99"/>
      </w:tcPr>
    </w:tblStylePr>
    <w:tblStylePr w:type="lastRow">
      <w:rPr>
        <w:b/>
        <w:bCs/>
      </w:rPr>
      <w:tcPr>
        <w:tcBorders>
          <w:top w:val="double" w:color="0F6FC6" w:themeColor="accent5" w:sz="4" w:space="0"/>
        </w:tcBorders>
      </w:tcPr>
    </w:tblStylePr>
    <w:tblStylePr w:type="firstCol">
      <w:rPr>
        <w:b/>
        <w:bCs/>
      </w:rPr>
    </w:tblStylePr>
    <w:tblStylePr w:type="lastCol">
      <w:rPr>
        <w:b/>
        <w:bCs/>
      </w:rPr>
    </w:tblStylePr>
    <w:tblStylePr w:type="band1Vert">
      <w:tcPr>
        <w:shd w:val="clear" w:color="auto" w:fill="C7E2FA" w:themeFill="accent5" w:themeFillTint="33"/>
      </w:tcPr>
    </w:tblStylePr>
    <w:tblStylePr w:type="band1Horz">
      <w:tcPr>
        <w:shd w:val="clear" w:color="auto" w:fill="C7E2FA" w:themeFill="accent5" w:themeFillTint="33"/>
      </w:tcPr>
    </w:tblStylePr>
  </w:style>
  <w:style w:type="paragraph" w:customStyle="1" w:styleId="131">
    <w:name w:val="L 注"/>
    <w:basedOn w:val="1"/>
    <w:link w:val="132"/>
    <w:qFormat/>
    <w:uiPriority w:val="0"/>
    <w:rPr>
      <w:rFonts w:ascii="Times New Roman" w:hAnsi="Times New Roman" w:eastAsiaTheme="minorEastAsia" w:cstheme="minorBidi"/>
      <w:caps/>
      <w:sz w:val="18"/>
    </w:rPr>
  </w:style>
  <w:style w:type="character" w:customStyle="1" w:styleId="132">
    <w:name w:val="L 注 Char"/>
    <w:basedOn w:val="36"/>
    <w:link w:val="131"/>
    <w:qFormat/>
    <w:uiPriority w:val="0"/>
    <w:rPr>
      <w:rFonts w:ascii="Times New Roman" w:hAnsi="Times New Roman" w:eastAsiaTheme="minorEastAsia" w:cstheme="minorBidi"/>
      <w:caps/>
      <w:sz w:val="18"/>
    </w:rPr>
  </w:style>
  <w:style w:type="character" w:customStyle="1" w:styleId="133">
    <w:name w:val="表格字体 Char"/>
    <w:link w:val="134"/>
    <w:qFormat/>
    <w:locked/>
    <w:uiPriority w:val="0"/>
    <w:rPr>
      <w:sz w:val="21"/>
    </w:rPr>
  </w:style>
  <w:style w:type="paragraph" w:customStyle="1" w:styleId="134">
    <w:name w:val="表格字体"/>
    <w:basedOn w:val="1"/>
    <w:next w:val="1"/>
    <w:link w:val="133"/>
    <w:qFormat/>
    <w:uiPriority w:val="0"/>
    <w:pPr>
      <w:spacing w:line="240" w:lineRule="atLeast"/>
      <w:jc w:val="center"/>
    </w:pPr>
    <w:rPr>
      <w:sz w:val="21"/>
    </w:rPr>
  </w:style>
  <w:style w:type="paragraph" w:customStyle="1" w:styleId="135">
    <w:name w:val="L 正文"/>
    <w:basedOn w:val="1"/>
    <w:link w:val="136"/>
    <w:qFormat/>
    <w:uiPriority w:val="0"/>
    <w:pPr>
      <w:spacing w:line="360" w:lineRule="auto"/>
      <w:ind w:firstLine="200" w:firstLineChars="200"/>
      <w:jc w:val="both"/>
    </w:pPr>
    <w:rPr>
      <w:rFonts w:ascii="Times New Roman" w:hAnsi="Times New Roman" w:cstheme="minorBidi"/>
      <w:color w:val="000000"/>
    </w:rPr>
  </w:style>
  <w:style w:type="character" w:customStyle="1" w:styleId="136">
    <w:name w:val="L 正文 Char"/>
    <w:basedOn w:val="36"/>
    <w:link w:val="135"/>
    <w:qFormat/>
    <w:uiPriority w:val="0"/>
    <w:rPr>
      <w:rFonts w:ascii="Times New Roman" w:hAnsi="Times New Roman" w:cstheme="minorBidi"/>
      <w:color w:val="000000"/>
      <w:sz w:val="24"/>
      <w:szCs w:val="24"/>
    </w:rPr>
  </w:style>
  <w:style w:type="paragraph" w:styleId="137">
    <w:name w:val="List Paragraph"/>
    <w:basedOn w:val="1"/>
    <w:qFormat/>
    <w:uiPriority w:val="99"/>
    <w:pPr>
      <w:ind w:firstLine="420" w:firstLineChars="200"/>
    </w:pPr>
  </w:style>
  <w:style w:type="table" w:customStyle="1" w:styleId="138">
    <w:name w:val="网格表 4 - 着色 15"/>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cPr>
      <w:vAlign w:val="center"/>
    </w:tc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39">
    <w:name w:val="L 图表标题"/>
    <w:basedOn w:val="135"/>
    <w:link w:val="140"/>
    <w:qFormat/>
    <w:uiPriority w:val="0"/>
    <w:pPr>
      <w:spacing w:after="50" w:afterLines="50"/>
      <w:ind w:firstLine="0" w:firstLineChars="0"/>
      <w:jc w:val="center"/>
    </w:pPr>
    <w:rPr>
      <w:rFonts w:eastAsia="黑体"/>
      <w:b/>
      <w:color w:val="0F6FC6" w:themeColor="accent1"/>
      <w:sz w:val="21"/>
      <w14:textFill>
        <w14:solidFill>
          <w14:schemeClr w14:val="accent1"/>
        </w14:solidFill>
      </w14:textFill>
    </w:rPr>
  </w:style>
  <w:style w:type="character" w:customStyle="1" w:styleId="140">
    <w:name w:val="L 图表标题 Char"/>
    <w:basedOn w:val="136"/>
    <w:link w:val="139"/>
    <w:qFormat/>
    <w:uiPriority w:val="0"/>
    <w:rPr>
      <w:rFonts w:ascii="Times New Roman" w:hAnsi="Times New Roman" w:eastAsia="黑体" w:cstheme="minorBidi"/>
      <w:b/>
      <w:color w:val="0F6FC6" w:themeColor="accent1"/>
      <w:sz w:val="21"/>
      <w:szCs w:val="24"/>
      <w14:textFill>
        <w14:solidFill>
          <w14:schemeClr w14:val="accent1"/>
        </w14:solidFill>
      </w14:textFill>
    </w:rPr>
  </w:style>
  <w:style w:type="paragraph" w:customStyle="1" w:styleId="141">
    <w:name w:val="L2级"/>
    <w:basedOn w:val="3"/>
    <w:link w:val="142"/>
    <w:qFormat/>
    <w:uiPriority w:val="0"/>
    <w:pPr>
      <w:keepNext/>
      <w:pBdr>
        <w:top w:val="single" w:color="FFFFFF" w:themeColor="background1" w:sz="24" w:space="0"/>
        <w:left w:val="single" w:color="FFFFFF" w:themeColor="background1" w:sz="24" w:space="0"/>
        <w:bottom w:val="single" w:color="FFFFFF" w:themeColor="background1" w:sz="24" w:space="0"/>
        <w:right w:val="single" w:color="FFFFFF" w:themeColor="background1" w:sz="24" w:space="0"/>
      </w:pBdr>
      <w:shd w:val="clear" w:color="auto" w:fill="auto"/>
      <w:spacing w:before="156" w:beforeLines="50" w:after="156" w:afterLines="50" w:line="400" w:lineRule="atLeast"/>
    </w:pPr>
    <w:rPr>
      <w:rFonts w:eastAsia="黑体" w:asciiTheme="minorHAnsi" w:hAnsiTheme="minorHAnsi" w:cstheme="minorBidi"/>
      <w:b/>
      <w:spacing w:val="0"/>
      <w:sz w:val="30"/>
      <w:lang w:val="en-US"/>
    </w:rPr>
  </w:style>
  <w:style w:type="character" w:customStyle="1" w:styleId="142">
    <w:name w:val="L2级 Char"/>
    <w:basedOn w:val="36"/>
    <w:link w:val="141"/>
    <w:qFormat/>
    <w:uiPriority w:val="0"/>
    <w:rPr>
      <w:rFonts w:eastAsia="黑体" w:asciiTheme="minorHAnsi" w:hAnsiTheme="minorHAnsi" w:cstheme="minorBidi"/>
      <w:b/>
      <w:caps/>
      <w:sz w:val="30"/>
    </w:rPr>
  </w:style>
  <w:style w:type="paragraph" w:customStyle="1" w:styleId="143">
    <w:name w:val="正文L"/>
    <w:basedOn w:val="1"/>
    <w:link w:val="144"/>
    <w:qFormat/>
    <w:uiPriority w:val="0"/>
    <w:pPr>
      <w:widowControl w:val="0"/>
      <w:spacing w:line="360" w:lineRule="auto"/>
      <w:ind w:firstLine="200" w:firstLineChars="200"/>
      <w:jc w:val="both"/>
    </w:pPr>
    <w:rPr>
      <w:rFonts w:ascii="Times New Roman" w:hAnsi="Times New Roman" w:eastAsiaTheme="minorEastAsia"/>
      <w:kern w:val="2"/>
    </w:rPr>
  </w:style>
  <w:style w:type="character" w:customStyle="1" w:styleId="144">
    <w:name w:val="正文L Char"/>
    <w:basedOn w:val="36"/>
    <w:link w:val="143"/>
    <w:qFormat/>
    <w:uiPriority w:val="0"/>
    <w:rPr>
      <w:rFonts w:ascii="Times New Roman" w:hAnsi="Times New Roman" w:eastAsiaTheme="minorEastAsia"/>
      <w:kern w:val="2"/>
      <w:sz w:val="24"/>
      <w:szCs w:val="24"/>
    </w:rPr>
  </w:style>
  <w:style w:type="paragraph" w:customStyle="1" w:styleId="145">
    <w:name w:val="3级标题"/>
    <w:basedOn w:val="143"/>
    <w:link w:val="146"/>
    <w:qFormat/>
    <w:uiPriority w:val="0"/>
    <w:pPr>
      <w:spacing w:before="50" w:beforeLines="50" w:after="50" w:afterLines="50" w:line="400" w:lineRule="atLeast"/>
      <w:ind w:firstLine="0" w:firstLineChars="0"/>
      <w:outlineLvl w:val="2"/>
    </w:pPr>
    <w:rPr>
      <w:rFonts w:ascii="黑体" w:hAnsi="黑体" w:eastAsia="黑体"/>
      <w:b/>
      <w:sz w:val="28"/>
      <w:szCs w:val="28"/>
    </w:rPr>
  </w:style>
  <w:style w:type="character" w:customStyle="1" w:styleId="146">
    <w:name w:val="3级标题 Char"/>
    <w:basedOn w:val="144"/>
    <w:link w:val="145"/>
    <w:qFormat/>
    <w:uiPriority w:val="0"/>
    <w:rPr>
      <w:rFonts w:ascii="黑体" w:hAnsi="黑体" w:eastAsia="黑体"/>
      <w:b/>
      <w:kern w:val="2"/>
      <w:sz w:val="28"/>
      <w:szCs w:val="28"/>
    </w:rPr>
  </w:style>
  <w:style w:type="paragraph" w:customStyle="1" w:styleId="147">
    <w:name w:val="表格文字"/>
    <w:basedOn w:val="118"/>
    <w:link w:val="148"/>
    <w:qFormat/>
    <w:uiPriority w:val="0"/>
    <w:pPr>
      <w:widowControl w:val="0"/>
      <w:jc w:val="center"/>
    </w:pPr>
    <w:rPr>
      <w:rFonts w:eastAsiaTheme="minorEastAsia"/>
      <w:bCs/>
      <w:sz w:val="21"/>
    </w:rPr>
  </w:style>
  <w:style w:type="character" w:customStyle="1" w:styleId="148">
    <w:name w:val="表格文字 Char"/>
    <w:basedOn w:val="119"/>
    <w:link w:val="147"/>
    <w:qFormat/>
    <w:uiPriority w:val="0"/>
    <w:rPr>
      <w:rFonts w:ascii="Times New Roman" w:hAnsi="Times New Roman" w:cs="Times New Roman" w:eastAsiaTheme="minorEastAsia"/>
      <w:bCs/>
      <w:sz w:val="21"/>
      <w:szCs w:val="18"/>
      <w:lang w:val="zh-CN" w:eastAsia="zh-CN"/>
    </w:rPr>
  </w:style>
  <w:style w:type="paragraph" w:customStyle="1" w:styleId="149">
    <w:name w:val="4级标题"/>
    <w:basedOn w:val="143"/>
    <w:link w:val="150"/>
    <w:qFormat/>
    <w:uiPriority w:val="0"/>
    <w:pPr>
      <w:keepNext/>
      <w:spacing w:before="156" w:beforeLines="50" w:after="156" w:line="300" w:lineRule="auto"/>
      <w:ind w:firstLine="482"/>
      <w:outlineLvl w:val="3"/>
    </w:pPr>
    <w:rPr>
      <w:rFonts w:eastAsia="黑体"/>
      <w:b/>
    </w:rPr>
  </w:style>
  <w:style w:type="character" w:customStyle="1" w:styleId="150">
    <w:name w:val="4级标题 Char"/>
    <w:basedOn w:val="144"/>
    <w:link w:val="149"/>
    <w:qFormat/>
    <w:uiPriority w:val="0"/>
    <w:rPr>
      <w:rFonts w:ascii="Times New Roman" w:hAnsi="Times New Roman" w:eastAsia="黑体"/>
      <w:b/>
      <w:kern w:val="2"/>
      <w:sz w:val="24"/>
      <w:szCs w:val="24"/>
    </w:rPr>
  </w:style>
  <w:style w:type="paragraph" w:customStyle="1" w:styleId="151">
    <w:name w:val="L3级"/>
    <w:basedOn w:val="1"/>
    <w:link w:val="152"/>
    <w:qFormat/>
    <w:uiPriority w:val="99"/>
    <w:pPr>
      <w:keepNext/>
      <w:spacing w:before="156" w:beforeLines="50" w:after="163" w:line="400" w:lineRule="atLeast"/>
      <w:outlineLvl w:val="2"/>
    </w:pPr>
    <w:rPr>
      <w:rFonts w:eastAsia="黑体" w:asciiTheme="minorHAnsi" w:hAnsiTheme="minorHAnsi" w:cstheme="minorBidi"/>
      <w:b/>
      <w:sz w:val="28"/>
    </w:rPr>
  </w:style>
  <w:style w:type="character" w:customStyle="1" w:styleId="152">
    <w:name w:val="L3级 Char"/>
    <w:basedOn w:val="36"/>
    <w:link w:val="151"/>
    <w:qFormat/>
    <w:uiPriority w:val="0"/>
    <w:rPr>
      <w:rFonts w:eastAsia="黑体" w:asciiTheme="minorHAnsi" w:hAnsiTheme="minorHAnsi" w:cstheme="minorBidi"/>
      <w:b/>
      <w:sz w:val="28"/>
    </w:rPr>
  </w:style>
  <w:style w:type="paragraph" w:customStyle="1" w:styleId="153">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154">
    <w:name w:val="正文内容"/>
    <w:basedOn w:val="1"/>
    <w:link w:val="155"/>
    <w:qFormat/>
    <w:uiPriority w:val="0"/>
    <w:pPr>
      <w:spacing w:line="360" w:lineRule="auto"/>
      <w:ind w:firstLine="480" w:firstLineChars="200"/>
      <w:jc w:val="both"/>
    </w:pPr>
    <w:rPr>
      <w:rFonts w:ascii="Times New Roman" w:hAnsi="Times New Roman" w:eastAsiaTheme="minorEastAsia"/>
      <w:szCs w:val="21"/>
    </w:rPr>
  </w:style>
  <w:style w:type="character" w:customStyle="1" w:styleId="155">
    <w:name w:val="正文内容 Char"/>
    <w:basedOn w:val="36"/>
    <w:link w:val="154"/>
    <w:qFormat/>
    <w:uiPriority w:val="0"/>
    <w:rPr>
      <w:rFonts w:ascii="Times New Roman" w:hAnsi="Times New Roman" w:cs="宋体" w:eastAsiaTheme="minorEastAsia"/>
      <w:sz w:val="24"/>
      <w:szCs w:val="21"/>
    </w:rPr>
  </w:style>
  <w:style w:type="paragraph" w:customStyle="1" w:styleId="156">
    <w:name w:val="图表的标题"/>
    <w:basedOn w:val="1"/>
    <w:link w:val="157"/>
    <w:qFormat/>
    <w:uiPriority w:val="0"/>
    <w:pPr>
      <w:widowControl w:val="0"/>
      <w:spacing w:before="156" w:beforeLines="50" w:after="156" w:afterLines="50"/>
      <w:jc w:val="center"/>
    </w:pPr>
    <w:rPr>
      <w:rFonts w:ascii="黑体" w:hAnsi="黑体" w:eastAsia="黑体"/>
      <w:b/>
      <w:bCs/>
      <w:kern w:val="2"/>
      <w:sz w:val="21"/>
      <w:szCs w:val="21"/>
    </w:rPr>
  </w:style>
  <w:style w:type="character" w:customStyle="1" w:styleId="157">
    <w:name w:val="图表的标题 Char"/>
    <w:basedOn w:val="36"/>
    <w:link w:val="156"/>
    <w:qFormat/>
    <w:uiPriority w:val="0"/>
    <w:rPr>
      <w:rFonts w:ascii="黑体" w:hAnsi="黑体" w:eastAsia="黑体"/>
      <w:b/>
      <w:bCs/>
      <w:kern w:val="2"/>
      <w:sz w:val="21"/>
      <w:szCs w:val="21"/>
    </w:rPr>
  </w:style>
  <w:style w:type="character" w:customStyle="1" w:styleId="158">
    <w:name w:val="济南标题4 Char"/>
    <w:basedOn w:val="36"/>
    <w:link w:val="159"/>
    <w:qFormat/>
    <w:locked/>
    <w:uiPriority w:val="0"/>
    <w:rPr>
      <w:rFonts w:ascii="Times New Roman" w:hAnsi="Times New Roman" w:eastAsia="黑体" w:cstheme="majorBidi"/>
      <w:b/>
      <w:bCs/>
      <w:sz w:val="25"/>
      <w:szCs w:val="25"/>
    </w:rPr>
  </w:style>
  <w:style w:type="paragraph" w:customStyle="1" w:styleId="159">
    <w:name w:val="济南标题4"/>
    <w:basedOn w:val="1"/>
    <w:link w:val="158"/>
    <w:qFormat/>
    <w:uiPriority w:val="0"/>
    <w:pPr>
      <w:spacing w:before="280" w:afterLines="50" w:line="376" w:lineRule="auto"/>
      <w:ind w:firstLine="502" w:firstLineChars="200"/>
      <w:outlineLvl w:val="3"/>
    </w:pPr>
    <w:rPr>
      <w:rFonts w:ascii="Times New Roman" w:hAnsi="Times New Roman" w:eastAsia="黑体" w:cstheme="majorBidi"/>
      <w:b/>
      <w:bCs/>
      <w:sz w:val="25"/>
      <w:szCs w:val="25"/>
    </w:rPr>
  </w:style>
  <w:style w:type="paragraph" w:customStyle="1" w:styleId="160">
    <w:name w:val="样例-图表标题"/>
    <w:basedOn w:val="1"/>
    <w:link w:val="161"/>
    <w:qFormat/>
    <w:uiPriority w:val="0"/>
    <w:pPr>
      <w:adjustRightInd w:val="0"/>
      <w:snapToGrid w:val="0"/>
      <w:spacing w:line="360" w:lineRule="auto"/>
      <w:jc w:val="center"/>
    </w:pPr>
    <w:rPr>
      <w:rFonts w:ascii="Times New Roman" w:hAnsi="Times New Roman" w:eastAsia="黑体"/>
      <w:b/>
      <w:sz w:val="21"/>
      <w:szCs w:val="21"/>
      <w:lang w:val="zh-CN"/>
    </w:rPr>
  </w:style>
  <w:style w:type="character" w:customStyle="1" w:styleId="161">
    <w:name w:val="样例-图表标题 Char"/>
    <w:basedOn w:val="36"/>
    <w:link w:val="160"/>
    <w:qFormat/>
    <w:uiPriority w:val="0"/>
    <w:rPr>
      <w:rFonts w:ascii="Times New Roman" w:hAnsi="Times New Roman" w:eastAsia="黑体"/>
      <w:b/>
      <w:sz w:val="21"/>
      <w:szCs w:val="21"/>
      <w:lang w:val="zh-CN"/>
    </w:rPr>
  </w:style>
  <w:style w:type="paragraph" w:customStyle="1" w:styleId="162">
    <w:name w:val="图标标题"/>
    <w:basedOn w:val="85"/>
    <w:link w:val="163"/>
    <w:qFormat/>
    <w:uiPriority w:val="0"/>
    <w:pPr>
      <w:widowControl/>
      <w:spacing w:after="163" w:line="240" w:lineRule="auto"/>
      <w:ind w:firstLine="0" w:firstLineChars="0"/>
    </w:pPr>
    <w:rPr>
      <w:rFonts w:eastAsia="黑体"/>
      <w:b/>
      <w:lang w:val="en-US"/>
    </w:rPr>
  </w:style>
  <w:style w:type="character" w:customStyle="1" w:styleId="163">
    <w:name w:val="图标标题 Char"/>
    <w:basedOn w:val="84"/>
    <w:link w:val="162"/>
    <w:qFormat/>
    <w:uiPriority w:val="0"/>
    <w:rPr>
      <w:rFonts w:ascii="Times New Roman" w:hAnsi="Times New Roman" w:eastAsia="黑体" w:cs="Times New Roman"/>
      <w:b/>
      <w:kern w:val="2"/>
      <w:sz w:val="21"/>
      <w:szCs w:val="21"/>
    </w:rPr>
  </w:style>
  <w:style w:type="paragraph" w:customStyle="1" w:styleId="164">
    <w:name w:val="目录"/>
    <w:basedOn w:val="1"/>
    <w:link w:val="165"/>
    <w:qFormat/>
    <w:uiPriority w:val="0"/>
    <w:pPr>
      <w:pageBreakBefore/>
      <w:shd w:val="clear" w:color="auto" w:fill="0F6FC6" w:themeFill="accent5"/>
      <w:spacing w:after="100" w:afterLines="100" w:line="400" w:lineRule="atLeast"/>
      <w:jc w:val="center"/>
    </w:pPr>
    <w:rPr>
      <w:rFonts w:eastAsia="黑体" w:asciiTheme="minorHAnsi" w:hAnsiTheme="minorHAnsi" w:cstheme="minorBidi"/>
      <w:b/>
      <w:caps/>
      <w:color w:val="FFFFFF" w:themeColor="background1"/>
      <w:sz w:val="32"/>
      <w:szCs w:val="32"/>
      <w14:textFill>
        <w14:solidFill>
          <w14:schemeClr w14:val="bg1"/>
        </w14:solidFill>
      </w14:textFill>
    </w:rPr>
  </w:style>
  <w:style w:type="character" w:customStyle="1" w:styleId="165">
    <w:name w:val="目录 Char"/>
    <w:basedOn w:val="36"/>
    <w:link w:val="164"/>
    <w:qFormat/>
    <w:uiPriority w:val="0"/>
    <w:rPr>
      <w:rFonts w:eastAsia="黑体" w:asciiTheme="minorHAnsi" w:hAnsiTheme="minorHAnsi" w:cstheme="minorBidi"/>
      <w:b/>
      <w:caps/>
      <w:color w:val="FFFFFF" w:themeColor="background1"/>
      <w:sz w:val="32"/>
      <w:szCs w:val="32"/>
      <w:shd w:val="clear" w:color="auto" w:fill="0F6FC6" w:themeFill="accent5"/>
      <w14:textFill>
        <w14:solidFill>
          <w14:schemeClr w14:val="bg1"/>
        </w14:solidFill>
      </w14:textFill>
    </w:rPr>
  </w:style>
  <w:style w:type="paragraph" w:customStyle="1" w:styleId="166">
    <w:name w:val="篇名"/>
    <w:basedOn w:val="87"/>
    <w:link w:val="167"/>
    <w:qFormat/>
    <w:uiPriority w:val="0"/>
    <w:pPr>
      <w:spacing w:after="312"/>
    </w:pPr>
    <w:rPr>
      <w:color w:val="FFFFFF"/>
      <w:sz w:val="36"/>
    </w:rPr>
  </w:style>
  <w:style w:type="character" w:customStyle="1" w:styleId="167">
    <w:name w:val="篇名 Char"/>
    <w:basedOn w:val="165"/>
    <w:link w:val="166"/>
    <w:qFormat/>
    <w:uiPriority w:val="0"/>
    <w:rPr>
      <w:rFonts w:ascii="黑体" w:hAnsi="黑体" w:eastAsia="黑体" w:cstheme="minorBidi"/>
      <w:b w:val="0"/>
      <w:color w:val="FFFFFF"/>
      <w:spacing w:val="15"/>
      <w:kern w:val="44"/>
      <w:sz w:val="36"/>
      <w:szCs w:val="32"/>
      <w:shd w:val="clear" w:color="auto" w:fill="0F6FC6"/>
      <w:lang w:val="zh-CN"/>
    </w:rPr>
  </w:style>
  <w:style w:type="paragraph" w:customStyle="1" w:styleId="168">
    <w:name w:val="L 1级"/>
    <w:basedOn w:val="1"/>
    <w:link w:val="169"/>
    <w:qFormat/>
    <w:uiPriority w:val="0"/>
    <w:pPr>
      <w:pageBreakBefore/>
      <w:shd w:val="clear" w:color="auto" w:fill="0F6FC6" w:themeFill="accent5"/>
      <w:spacing w:before="50" w:beforeLines="50" w:after="100" w:afterLines="100" w:line="400" w:lineRule="atLeast"/>
      <w:jc w:val="center"/>
      <w:outlineLvl w:val="0"/>
    </w:pPr>
    <w:rPr>
      <w:rFonts w:eastAsia="黑体" w:asciiTheme="minorHAnsi" w:hAnsiTheme="minorHAnsi" w:cstheme="minorBidi"/>
      <w:b/>
      <w:caps/>
      <w:color w:val="FFFFFF"/>
      <w:sz w:val="36"/>
      <w:szCs w:val="32"/>
    </w:rPr>
  </w:style>
  <w:style w:type="character" w:customStyle="1" w:styleId="169">
    <w:name w:val="L 1级 Char"/>
    <w:basedOn w:val="36"/>
    <w:link w:val="168"/>
    <w:qFormat/>
    <w:uiPriority w:val="0"/>
    <w:rPr>
      <w:rFonts w:eastAsia="黑体" w:asciiTheme="minorHAnsi" w:hAnsiTheme="minorHAnsi" w:cstheme="minorBidi"/>
      <w:b/>
      <w:caps/>
      <w:color w:val="FFFFFF"/>
      <w:sz w:val="36"/>
      <w:szCs w:val="32"/>
      <w:shd w:val="clear" w:color="auto" w:fill="0F6FC6" w:themeFill="accent5"/>
    </w:rPr>
  </w:style>
  <w:style w:type="table" w:customStyle="1" w:styleId="170">
    <w:name w:val="Grid Table 1 Light Accent 1"/>
    <w:basedOn w:val="32"/>
    <w:qFormat/>
    <w:uiPriority w:val="46"/>
    <w:tblPr>
      <w:tblBorders>
        <w:top w:val="single" w:color="90C6F6" w:themeColor="accent1" w:themeTint="66" w:sz="4" w:space="0"/>
        <w:left w:val="single" w:color="90C6F6" w:themeColor="accent1" w:themeTint="66" w:sz="4" w:space="0"/>
        <w:bottom w:val="single" w:color="90C6F6" w:themeColor="accent1" w:themeTint="66" w:sz="4" w:space="0"/>
        <w:right w:val="single" w:color="90C6F6" w:themeColor="accent1" w:themeTint="66" w:sz="4" w:space="0"/>
        <w:insideH w:val="single" w:color="90C6F6" w:themeColor="accent1" w:themeTint="66" w:sz="4" w:space="0"/>
        <w:insideV w:val="single" w:color="90C6F6" w:themeColor="accent1" w:themeTint="66" w:sz="4" w:space="0"/>
      </w:tblBorders>
    </w:tblPr>
    <w:tblStylePr w:type="firstRow">
      <w:rPr>
        <w:b/>
        <w:bCs/>
      </w:rPr>
      <w:tcPr>
        <w:tcBorders>
          <w:bottom w:val="single" w:color="59A9F2" w:themeColor="accent1" w:themeTint="99" w:sz="12" w:space="0"/>
        </w:tcBorders>
      </w:tcPr>
    </w:tblStylePr>
    <w:tblStylePr w:type="lastRow">
      <w:rPr>
        <w:b/>
        <w:bCs/>
      </w:rPr>
      <w:tcPr>
        <w:tcBorders>
          <w:top w:val="double" w:color="59A9F2" w:themeColor="accent1" w:themeTint="99" w:sz="2" w:space="0"/>
        </w:tcBorders>
      </w:tcPr>
    </w:tblStylePr>
    <w:tblStylePr w:type="firstCol">
      <w:rPr>
        <w:b/>
        <w:bCs/>
      </w:rPr>
    </w:tblStylePr>
    <w:tblStylePr w:type="lastCol">
      <w:rPr>
        <w:b/>
        <w:bCs/>
      </w:rPr>
    </w:tblStylePr>
  </w:style>
  <w:style w:type="paragraph" w:customStyle="1" w:styleId="171">
    <w:name w:val="图表题"/>
    <w:basedOn w:val="12"/>
    <w:link w:val="172"/>
    <w:qFormat/>
    <w:uiPriority w:val="0"/>
    <w:pPr>
      <w:spacing w:before="0" w:beforeLines="0" w:after="0" w:afterLines="0"/>
    </w:pPr>
  </w:style>
  <w:style w:type="character" w:customStyle="1" w:styleId="172">
    <w:name w:val="图表题 Char"/>
    <w:basedOn w:val="53"/>
    <w:link w:val="171"/>
    <w:qFormat/>
    <w:uiPriority w:val="0"/>
    <w:rPr>
      <w:rFonts w:ascii="Times New Roman" w:hAnsi="Times New Roman" w:eastAsia="黑体"/>
      <w:sz w:val="21"/>
      <w:szCs w:val="16"/>
    </w:rPr>
  </w:style>
  <w:style w:type="paragraph" w:customStyle="1" w:styleId="173">
    <w:name w:val="TOC Heading"/>
    <w:basedOn w:val="2"/>
    <w:next w:val="1"/>
    <w:unhideWhenUsed/>
    <w:qFormat/>
    <w:uiPriority w:val="39"/>
    <w:pPr>
      <w:keepNext/>
      <w:keepLines/>
      <w:pBdr>
        <w:top w:val="none" w:color="auto" w:sz="0" w:space="0"/>
        <w:left w:val="none" w:color="auto" w:sz="0" w:space="0"/>
        <w:bottom w:val="none" w:color="auto" w:sz="0" w:space="0"/>
        <w:right w:val="none" w:color="auto" w:sz="0" w:space="0"/>
      </w:pBdr>
      <w:shd w:val="clear" w:color="auto" w:fill="auto"/>
      <w:spacing w:before="240" w:line="259" w:lineRule="auto"/>
      <w:outlineLvl w:val="9"/>
    </w:pPr>
    <w:rPr>
      <w:rFonts w:asciiTheme="majorHAnsi" w:hAnsiTheme="majorHAnsi" w:eastAsiaTheme="majorEastAsia" w:cstheme="majorBidi"/>
      <w:caps w:val="0"/>
      <w:color w:val="0B5395" w:themeColor="accent1" w:themeShade="BF"/>
      <w:spacing w:val="0"/>
      <w:sz w:val="32"/>
      <w:szCs w:val="32"/>
      <w:lang w:val="en-US"/>
    </w:rPr>
  </w:style>
  <w:style w:type="paragraph" w:customStyle="1" w:styleId="174">
    <w:name w:val="样例-二级标题"/>
    <w:basedOn w:val="1"/>
    <w:link w:val="175"/>
    <w:qFormat/>
    <w:uiPriority w:val="0"/>
    <w:pPr>
      <w:tabs>
        <w:tab w:val="left" w:pos="4170"/>
      </w:tabs>
      <w:spacing w:before="156" w:beforeLines="50" w:after="156" w:afterLines="50" w:line="400" w:lineRule="atLeast"/>
      <w:outlineLvl w:val="1"/>
    </w:pPr>
    <w:rPr>
      <w:rFonts w:ascii="Times New Roman" w:hAnsi="Times New Roman" w:eastAsia="黑体"/>
      <w:b/>
      <w:bCs/>
      <w:color w:val="000000"/>
      <w:sz w:val="30"/>
      <w:szCs w:val="30"/>
      <w:lang w:val="zh-CN"/>
    </w:rPr>
  </w:style>
  <w:style w:type="character" w:customStyle="1" w:styleId="175">
    <w:name w:val="样例-二级标题 Char"/>
    <w:basedOn w:val="36"/>
    <w:link w:val="174"/>
    <w:qFormat/>
    <w:uiPriority w:val="0"/>
    <w:rPr>
      <w:rFonts w:ascii="Times New Roman" w:hAnsi="Times New Roman" w:eastAsia="黑体"/>
      <w:b/>
      <w:bCs/>
      <w:color w:val="000000"/>
      <w:sz w:val="30"/>
      <w:szCs w:val="30"/>
      <w:lang w:val="zh-CN"/>
    </w:rPr>
  </w:style>
  <w:style w:type="paragraph" w:customStyle="1" w:styleId="176">
    <w:name w:val="脚注样例"/>
    <w:link w:val="177"/>
    <w:qFormat/>
    <w:uiPriority w:val="0"/>
    <w:rPr>
      <w:rFonts w:ascii="Times New Roman" w:hAnsi="Times New Roman" w:eastAsia="宋体" w:cstheme="minorBidi"/>
      <w:caps/>
      <w:sz w:val="18"/>
      <w:lang w:val="en-US" w:eastAsia="zh-CN" w:bidi="ar-SA"/>
    </w:rPr>
  </w:style>
  <w:style w:type="character" w:customStyle="1" w:styleId="177">
    <w:name w:val="脚注样例 Char"/>
    <w:basedOn w:val="36"/>
    <w:link w:val="176"/>
    <w:qFormat/>
    <w:uiPriority w:val="0"/>
    <w:rPr>
      <w:rFonts w:ascii="Times New Roman" w:hAnsi="Times New Roman" w:cstheme="minorBidi"/>
      <w:caps/>
      <w:sz w:val="18"/>
    </w:rPr>
  </w:style>
  <w:style w:type="paragraph" w:customStyle="1" w:styleId="178">
    <w:name w:val="报告正文样例"/>
    <w:link w:val="179"/>
    <w:qFormat/>
    <w:uiPriority w:val="0"/>
    <w:pPr>
      <w:spacing w:before="50" w:beforeLines="50" w:line="360" w:lineRule="auto"/>
      <w:ind w:firstLine="200" w:firstLineChars="200"/>
      <w:jc w:val="both"/>
    </w:pPr>
    <w:rPr>
      <w:rFonts w:ascii="Times New Roman" w:hAnsi="Times New Roman" w:eastAsia="宋体" w:cs="Times New Roman"/>
      <w:bCs/>
      <w:color w:val="000000"/>
      <w:sz w:val="24"/>
      <w:szCs w:val="30"/>
      <w:lang w:val="zh-CN" w:eastAsia="zh-CN" w:bidi="ar-SA"/>
    </w:rPr>
  </w:style>
  <w:style w:type="character" w:customStyle="1" w:styleId="179">
    <w:name w:val="报告正文样例 Char"/>
    <w:basedOn w:val="36"/>
    <w:link w:val="178"/>
    <w:qFormat/>
    <w:uiPriority w:val="0"/>
    <w:rPr>
      <w:rFonts w:ascii="Times New Roman" w:hAnsi="Times New Roman"/>
      <w:bCs/>
      <w:color w:val="000000"/>
      <w:sz w:val="24"/>
      <w:szCs w:val="30"/>
      <w:lang w:val="zh-CN"/>
    </w:rPr>
  </w:style>
  <w:style w:type="paragraph" w:customStyle="1" w:styleId="180">
    <w:name w:val="图表标题样例"/>
    <w:link w:val="181"/>
    <w:qFormat/>
    <w:uiPriority w:val="0"/>
    <w:pPr>
      <w:spacing w:line="360" w:lineRule="auto"/>
      <w:jc w:val="center"/>
    </w:pPr>
    <w:rPr>
      <w:rFonts w:ascii="Times New Roman" w:hAnsi="Times New Roman" w:eastAsia="黑体" w:cs="Times New Roman"/>
      <w:b/>
      <w:caps/>
      <w:color w:val="0F6FC6" w:themeColor="accent5"/>
      <w:sz w:val="21"/>
      <w:szCs w:val="36"/>
      <w:lang w:val="zh-CN" w:eastAsia="zh-CN" w:bidi="ar-SA"/>
      <w14:textFill>
        <w14:solidFill>
          <w14:schemeClr w14:val="accent5"/>
        </w14:solidFill>
      </w14:textFill>
    </w:rPr>
  </w:style>
  <w:style w:type="character" w:customStyle="1" w:styleId="181">
    <w:name w:val="图表标题样例 Char"/>
    <w:basedOn w:val="115"/>
    <w:link w:val="180"/>
    <w:qFormat/>
    <w:uiPriority w:val="0"/>
    <w:rPr>
      <w:rFonts w:ascii="Times New Roman" w:hAnsi="Times New Roman" w:eastAsia="黑体" w:cs="Times New Roman"/>
      <w:caps/>
      <w:color w:val="0F6FC6" w:themeColor="accent5"/>
      <w:sz w:val="21"/>
      <w:szCs w:val="36"/>
      <w:lang w:val="zh-CN" w:eastAsia="zh-CN"/>
      <w14:textFill>
        <w14:solidFill>
          <w14:schemeClr w14:val="accent5"/>
        </w14:solidFill>
      </w14:textFill>
    </w:rPr>
  </w:style>
  <w:style w:type="table" w:customStyle="1" w:styleId="182">
    <w:name w:val="网格表 4 - 着色 17"/>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83">
    <w:name w:val="四级标题样例"/>
    <w:link w:val="184"/>
    <w:qFormat/>
    <w:uiPriority w:val="0"/>
    <w:pPr>
      <w:spacing w:before="50" w:beforeLines="50" w:after="50" w:afterLines="50" w:line="400" w:lineRule="atLeast"/>
      <w:ind w:firstLine="150" w:firstLineChars="150"/>
    </w:pPr>
    <w:rPr>
      <w:rFonts w:ascii="Times New Roman" w:hAnsi="Times New Roman" w:eastAsia="黑体" w:cs="Times New Roman"/>
      <w:b/>
      <w:bCs/>
      <w:sz w:val="24"/>
      <w:szCs w:val="30"/>
      <w:lang w:val="en-US" w:eastAsia="zh-CN" w:bidi="ar-SA"/>
    </w:rPr>
  </w:style>
  <w:style w:type="character" w:customStyle="1" w:styleId="184">
    <w:name w:val="四级标题样例 Char"/>
    <w:basedOn w:val="36"/>
    <w:link w:val="183"/>
    <w:qFormat/>
    <w:uiPriority w:val="0"/>
    <w:rPr>
      <w:rFonts w:ascii="Times New Roman" w:hAnsi="Times New Roman" w:eastAsia="黑体"/>
      <w:b/>
      <w:bCs/>
      <w:sz w:val="24"/>
      <w:szCs w:val="30"/>
    </w:rPr>
  </w:style>
  <w:style w:type="paragraph" w:customStyle="1" w:styleId="185">
    <w:name w:val="表格文字1"/>
    <w:basedOn w:val="1"/>
    <w:link w:val="186"/>
    <w:qFormat/>
    <w:uiPriority w:val="0"/>
    <w:pPr>
      <w:widowControl w:val="0"/>
      <w:jc w:val="center"/>
    </w:pPr>
    <w:rPr>
      <w:rFonts w:ascii="Times New Roman" w:hAnsi="Times New Roman"/>
      <w:bCs/>
      <w:sz w:val="21"/>
      <w:szCs w:val="21"/>
    </w:rPr>
  </w:style>
  <w:style w:type="character" w:customStyle="1" w:styleId="186">
    <w:name w:val="表格文字1 Char"/>
    <w:basedOn w:val="36"/>
    <w:link w:val="185"/>
    <w:qFormat/>
    <w:uiPriority w:val="0"/>
    <w:rPr>
      <w:rFonts w:ascii="Times New Roman" w:hAnsi="Times New Roman"/>
      <w:bCs/>
      <w:sz w:val="21"/>
      <w:szCs w:val="21"/>
    </w:rPr>
  </w:style>
  <w:style w:type="table" w:customStyle="1" w:styleId="187">
    <w:name w:val="Grid Table 5 Dark Accent 3"/>
    <w:basedOn w:val="3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FAF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BD0D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BD0D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BD0D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BD0D9" w:themeFill="accent3"/>
      </w:tcPr>
    </w:tblStylePr>
    <w:tblStylePr w:type="band1Vert">
      <w:tcPr>
        <w:shd w:val="clear" w:color="auto" w:fill="93F5F9" w:themeFill="accent3" w:themeFillTint="66"/>
      </w:tcPr>
    </w:tblStylePr>
    <w:tblStylePr w:type="band1Horz">
      <w:tcPr>
        <w:shd w:val="clear" w:color="auto" w:fill="93F5F9" w:themeFill="accent3" w:themeFillTint="66"/>
      </w:tcPr>
    </w:tblStylePr>
  </w:style>
  <w:style w:type="table" w:customStyle="1" w:styleId="188">
    <w:name w:val="网格表 4 - 着色 16"/>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89">
    <w:name w:val="Grid Table 4"/>
    <w:basedOn w:val="32"/>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190">
    <w:name w:val="-图表标注"/>
    <w:basedOn w:val="131"/>
    <w:link w:val="191"/>
    <w:qFormat/>
    <w:uiPriority w:val="0"/>
  </w:style>
  <w:style w:type="character" w:customStyle="1" w:styleId="191">
    <w:name w:val="-图表标注 Char"/>
    <w:basedOn w:val="132"/>
    <w:link w:val="190"/>
    <w:qFormat/>
    <w:uiPriority w:val="0"/>
    <w:rPr>
      <w:rFonts w:ascii="Times New Roman" w:hAnsi="Times New Roman" w:eastAsiaTheme="minorEastAsia" w:cstheme="minorBidi"/>
      <w:sz w:val="18"/>
    </w:rPr>
  </w:style>
  <w:style w:type="character" w:customStyle="1" w:styleId="192">
    <w:name w:val="样例-正文 Char"/>
    <w:basedOn w:val="36"/>
    <w:link w:val="193"/>
    <w:qFormat/>
    <w:locked/>
    <w:uiPriority w:val="0"/>
    <w:rPr>
      <w:rFonts w:ascii="Times New Roman" w:hAnsi="Times New Roman"/>
      <w:bCs/>
      <w:kern w:val="44"/>
      <w:sz w:val="24"/>
      <w:szCs w:val="32"/>
    </w:rPr>
  </w:style>
  <w:style w:type="paragraph" w:customStyle="1" w:styleId="193">
    <w:name w:val="样例-正文"/>
    <w:basedOn w:val="1"/>
    <w:link w:val="192"/>
    <w:qFormat/>
    <w:uiPriority w:val="0"/>
    <w:pPr>
      <w:spacing w:beforeLines="50" w:afterLines="50" w:line="360" w:lineRule="auto"/>
      <w:ind w:firstLine="200" w:firstLineChars="200"/>
      <w:jc w:val="both"/>
    </w:pPr>
    <w:rPr>
      <w:rFonts w:ascii="Times New Roman" w:hAnsi="Times New Roman"/>
      <w:bCs/>
      <w:kern w:val="44"/>
      <w:szCs w:val="32"/>
    </w:rPr>
  </w:style>
  <w:style w:type="paragraph" w:customStyle="1" w:styleId="194">
    <w:name w:val="-正文"/>
    <w:basedOn w:val="63"/>
    <w:link w:val="195"/>
    <w:qFormat/>
    <w:uiPriority w:val="0"/>
    <w:pPr>
      <w:spacing w:before="156" w:after="156"/>
      <w:jc w:val="both"/>
    </w:pPr>
    <w:rPr>
      <w:rFonts w:ascii="Times New Roman" w:hAnsi="Times New Roman"/>
    </w:rPr>
  </w:style>
  <w:style w:type="character" w:customStyle="1" w:styleId="195">
    <w:name w:val="-正文 Char"/>
    <w:basedOn w:val="62"/>
    <w:link w:val="194"/>
    <w:qFormat/>
    <w:uiPriority w:val="0"/>
    <w:rPr>
      <w:rFonts w:ascii="Times New Roman" w:hAnsi="Times New Roman" w:cs="宋体"/>
      <w:color w:val="000000"/>
      <w:kern w:val="0"/>
      <w:sz w:val="24"/>
      <w:szCs w:val="21"/>
      <w:lang w:val="zh-CN"/>
    </w:rPr>
  </w:style>
  <w:style w:type="table" w:customStyle="1" w:styleId="196">
    <w:name w:val="清单表 6 彩色 - 着色 11"/>
    <w:basedOn w:val="32"/>
    <w:qFormat/>
    <w:uiPriority w:val="51"/>
    <w:rPr>
      <w:rFonts w:asciiTheme="minorHAnsi" w:hAnsiTheme="minorHAnsi" w:eastAsiaTheme="minorEastAsia" w:cstheme="minorBidi"/>
      <w:color w:val="0B5395" w:themeColor="accent1" w:themeShade="BF"/>
      <w:kern w:val="2"/>
      <w:sz w:val="21"/>
      <w:szCs w:val="22"/>
    </w:rPr>
    <w:tblPr>
      <w:tblBorders>
        <w:top w:val="single" w:color="0F6FC6" w:themeColor="accent1" w:sz="4" w:space="0"/>
        <w:bottom w:val="single" w:color="0F6FC6" w:themeColor="accent1" w:sz="4" w:space="0"/>
      </w:tblBorders>
    </w:tblPr>
    <w:tblStylePr w:type="firstRow">
      <w:rPr>
        <w:b/>
        <w:bCs/>
      </w:rPr>
      <w:tcPr>
        <w:tcBorders>
          <w:bottom w:val="single" w:color="0F6FC6" w:themeColor="accent1" w:sz="4" w:space="0"/>
        </w:tcBorders>
      </w:tcPr>
    </w:tblStylePr>
    <w:tblStylePr w:type="lastRow">
      <w:rPr>
        <w:b/>
        <w:bCs/>
      </w:rPr>
      <w:tcPr>
        <w:tcBorders>
          <w:top w:val="double" w:color="0F6FC6" w:themeColor="accent1" w:sz="4" w:space="0"/>
        </w:tcBorders>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table" w:customStyle="1" w:styleId="197">
    <w:name w:val="Grid Table 4 Accent 4"/>
    <w:basedOn w:val="32"/>
    <w:qFormat/>
    <w:uiPriority w:val="49"/>
    <w:tblPr>
      <w:tblBorders>
        <w:top w:val="single" w:color="5FF2CA" w:themeColor="accent4" w:themeTint="99" w:sz="4" w:space="0"/>
        <w:left w:val="single" w:color="5FF2CA" w:themeColor="accent4" w:themeTint="99" w:sz="4" w:space="0"/>
        <w:bottom w:val="single" w:color="5FF2CA" w:themeColor="accent4" w:themeTint="99" w:sz="4" w:space="0"/>
        <w:right w:val="single" w:color="5FF2CA" w:themeColor="accent4" w:themeTint="99" w:sz="4" w:space="0"/>
        <w:insideH w:val="single" w:color="5FF2CA" w:themeColor="accent4" w:themeTint="99" w:sz="4" w:space="0"/>
        <w:insideV w:val="single" w:color="5FF2CA" w:themeColor="accent4" w:themeTint="99" w:sz="4" w:space="0"/>
      </w:tblBorders>
    </w:tblPr>
    <w:tblStylePr w:type="firstRow">
      <w:rPr>
        <w:b/>
        <w:bCs/>
        <w:color w:val="FFFFFF" w:themeColor="background1"/>
        <w14:textFill>
          <w14:solidFill>
            <w14:schemeClr w14:val="bg1"/>
          </w14:solidFill>
        </w14:textFill>
      </w:rPr>
      <w:tcPr>
        <w:tcBorders>
          <w:top w:val="single" w:color="10CF9B" w:themeColor="accent4" w:sz="4" w:space="0"/>
          <w:left w:val="single" w:color="10CF9B" w:themeColor="accent4" w:sz="4" w:space="0"/>
          <w:bottom w:val="single" w:color="10CF9B" w:themeColor="accent4" w:sz="4" w:space="0"/>
          <w:right w:val="single" w:color="10CF9B" w:themeColor="accent4" w:sz="4" w:space="0"/>
          <w:insideH w:val="nil"/>
          <w:insideV w:val="nil"/>
        </w:tcBorders>
        <w:shd w:val="clear" w:color="auto" w:fill="10CF9B" w:themeFill="accent4"/>
      </w:tcPr>
    </w:tblStylePr>
    <w:tblStylePr w:type="lastRow">
      <w:rPr>
        <w:b/>
        <w:bCs/>
      </w:rPr>
      <w:tcPr>
        <w:tcBorders>
          <w:top w:val="double" w:color="10CF9B" w:themeColor="accent4" w:sz="4" w:space="0"/>
        </w:tcBorders>
      </w:tcPr>
    </w:tblStylePr>
    <w:tblStylePr w:type="firstCol">
      <w:rPr>
        <w:b/>
        <w:bCs/>
      </w:rPr>
    </w:tblStylePr>
    <w:tblStylePr w:type="lastCol">
      <w:rPr>
        <w:b/>
        <w:bCs/>
      </w:rPr>
    </w:tblStylePr>
    <w:tblStylePr w:type="band1Vert">
      <w:tcPr>
        <w:shd w:val="clear" w:color="auto" w:fill="C9FAED" w:themeFill="accent4" w:themeFillTint="33"/>
      </w:tcPr>
    </w:tblStylePr>
    <w:tblStylePr w:type="band1Horz">
      <w:tcPr>
        <w:shd w:val="clear" w:color="auto" w:fill="C9FAED" w:themeFill="accent4" w:themeFillTint="33"/>
      </w:tcPr>
    </w:tblStylePr>
  </w:style>
  <w:style w:type="table" w:customStyle="1" w:styleId="198">
    <w:name w:val="网格表 4 - 着色 51"/>
    <w:basedOn w:val="32"/>
    <w:qFormat/>
    <w:uiPriority w:val="49"/>
    <w:pPr>
      <w:jc w:val="center"/>
    </w:pPr>
    <w:rPr>
      <w:rFonts w:ascii="Times New Roman" w:hAnsi="Times New Roman"/>
    </w:rPr>
    <w:tblPr>
      <w:jc w:val="center"/>
      <w:tblBorders>
        <w:top w:val="single" w:color="59A9F2" w:themeColor="accent5" w:themeTint="99" w:sz="4" w:space="0"/>
        <w:left w:val="single" w:color="59A9F2" w:themeColor="accent5" w:themeTint="99" w:sz="4" w:space="0"/>
        <w:bottom w:val="single" w:color="59A9F2" w:themeColor="accent5" w:themeTint="99" w:sz="4" w:space="0"/>
        <w:right w:val="single" w:color="59A9F2" w:themeColor="accent5" w:themeTint="99" w:sz="4" w:space="0"/>
        <w:insideH w:val="single" w:color="59A9F2" w:themeColor="accent5" w:themeTint="99" w:sz="4" w:space="0"/>
        <w:insideV w:val="single" w:color="59A9F2"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cPr>
        <w:shd w:val="clear" w:color="auto" w:fill="59A9F2" w:themeFill="accent5" w:themeFillTint="99"/>
      </w:tcPr>
    </w:tblStylePr>
    <w:tblStylePr w:type="lastRow">
      <w:rPr>
        <w:b/>
        <w:bCs/>
      </w:rPr>
      <w:tcPr>
        <w:tcBorders>
          <w:top w:val="double" w:color="0F6FC6" w:themeColor="accent5" w:sz="4" w:space="0"/>
        </w:tcBorders>
      </w:tcPr>
    </w:tblStylePr>
    <w:tblStylePr w:type="firstCol">
      <w:rPr>
        <w:b/>
        <w:bCs/>
      </w:rPr>
    </w:tblStylePr>
    <w:tblStylePr w:type="lastCol">
      <w:rPr>
        <w:b/>
        <w:bCs/>
      </w:rPr>
    </w:tblStylePr>
    <w:tblStylePr w:type="band1Vert">
      <w:tcPr>
        <w:shd w:val="clear" w:color="auto" w:fill="C7E2FA" w:themeFill="accent5" w:themeFillTint="33"/>
      </w:tcPr>
    </w:tblStylePr>
    <w:tblStylePr w:type="band1Horz">
      <w:tcPr>
        <w:shd w:val="clear" w:color="auto" w:fill="C7E2FA" w:themeFill="accent5" w:themeFillTint="33"/>
      </w:tcPr>
    </w:tblStylePr>
  </w:style>
  <w:style w:type="paragraph" w:customStyle="1" w:styleId="199">
    <w:name w:val="Z三级"/>
    <w:link w:val="200"/>
    <w:qFormat/>
    <w:uiPriority w:val="0"/>
    <w:pPr>
      <w:spacing w:before="50" w:beforeLines="50" w:after="50" w:afterLines="50" w:line="240" w:lineRule="atLeast"/>
      <w:outlineLvl w:val="2"/>
    </w:pPr>
    <w:rPr>
      <w:rFonts w:ascii="Times New Roman" w:hAnsi="Times New Roman" w:eastAsia="黑体" w:cs="Times New Roman"/>
      <w:b/>
      <w:bCs/>
      <w:color w:val="000000"/>
      <w:sz w:val="28"/>
      <w:szCs w:val="30"/>
      <w:lang w:val="zh-CN" w:eastAsia="zh-CN" w:bidi="ar-SA"/>
    </w:rPr>
  </w:style>
  <w:style w:type="character" w:customStyle="1" w:styleId="200">
    <w:name w:val="Z三级 Char"/>
    <w:basedOn w:val="126"/>
    <w:link w:val="199"/>
    <w:qFormat/>
    <w:uiPriority w:val="0"/>
    <w:rPr>
      <w:rFonts w:ascii="Times New Roman" w:hAnsi="Times New Roman" w:eastAsia="黑体" w:cs="Times New Roman"/>
      <w:color w:val="000000"/>
      <w:sz w:val="28"/>
      <w:szCs w:val="30"/>
      <w:lang w:val="zh-CN"/>
    </w:rPr>
  </w:style>
  <w:style w:type="paragraph" w:customStyle="1" w:styleId="201">
    <w:name w:val="Z脚注"/>
    <w:link w:val="202"/>
    <w:qFormat/>
    <w:uiPriority w:val="0"/>
    <w:rPr>
      <w:rFonts w:ascii="Times New Roman" w:hAnsi="Times New Roman" w:eastAsia="宋体" w:cstheme="minorBidi"/>
      <w:caps/>
      <w:sz w:val="18"/>
      <w:lang w:val="en-US" w:eastAsia="zh-CN" w:bidi="ar-SA"/>
    </w:rPr>
  </w:style>
  <w:style w:type="character" w:customStyle="1" w:styleId="202">
    <w:name w:val="Z脚注 Char"/>
    <w:basedOn w:val="36"/>
    <w:link w:val="201"/>
    <w:qFormat/>
    <w:uiPriority w:val="0"/>
    <w:rPr>
      <w:rFonts w:ascii="Times New Roman" w:hAnsi="Times New Roman" w:cstheme="minorBidi"/>
      <w:caps/>
      <w:sz w:val="18"/>
    </w:rPr>
  </w:style>
  <w:style w:type="paragraph" w:customStyle="1" w:styleId="203">
    <w:name w:val="L1级"/>
    <w:basedOn w:val="2"/>
    <w:link w:val="204"/>
    <w:qFormat/>
    <w:uiPriority w:val="0"/>
    <w:pPr>
      <w:pBdr>
        <w:top w:val="single" w:color="FFFFFF" w:themeColor="background1" w:sz="24" w:space="0"/>
        <w:left w:val="single" w:color="FFFFFF" w:themeColor="background1" w:sz="24" w:space="0"/>
        <w:bottom w:val="single" w:color="FFFFFF" w:themeColor="background1" w:sz="24" w:space="0"/>
        <w:right w:val="single" w:color="FFFFFF" w:themeColor="background1" w:sz="24" w:space="0"/>
      </w:pBdr>
      <w:shd w:val="clear" w:color="auto" w:fill="FFFFFF" w:themeFill="background1"/>
      <w:spacing w:before="150" w:beforeLines="150" w:after="150" w:afterLines="150" w:line="400" w:lineRule="atLeast"/>
      <w:jc w:val="center"/>
    </w:pPr>
    <w:rPr>
      <w:rFonts w:eastAsia="黑体" w:asciiTheme="minorHAnsi" w:hAnsiTheme="minorHAnsi" w:cstheme="minorBidi"/>
      <w:b/>
      <w:sz w:val="36"/>
      <w:lang w:val="en-US"/>
    </w:rPr>
  </w:style>
  <w:style w:type="character" w:customStyle="1" w:styleId="204">
    <w:name w:val="L1级 Char"/>
    <w:basedOn w:val="42"/>
    <w:link w:val="203"/>
    <w:qFormat/>
    <w:uiPriority w:val="0"/>
    <w:rPr>
      <w:rFonts w:eastAsia="黑体" w:asciiTheme="minorHAnsi" w:hAnsiTheme="minorHAnsi" w:cstheme="minorBidi"/>
      <w:b/>
      <w:color w:val="FFFFFF"/>
      <w:spacing w:val="15"/>
      <w:sz w:val="36"/>
      <w:szCs w:val="22"/>
      <w:shd w:val="clear" w:color="auto" w:fill="FFFFFF" w:themeFill="background1"/>
    </w:rPr>
  </w:style>
  <w:style w:type="character" w:customStyle="1" w:styleId="205">
    <w:name w:val="fontstyle01"/>
    <w:basedOn w:val="36"/>
    <w:qFormat/>
    <w:uiPriority w:val="0"/>
    <w:rPr>
      <w:rFonts w:hint="eastAsia" w:ascii="宋体" w:hAnsi="宋体" w:eastAsia="宋体"/>
      <w:color w:val="000000"/>
      <w:sz w:val="24"/>
      <w:szCs w:val="24"/>
    </w:rPr>
  </w:style>
  <w:style w:type="table" w:customStyle="1" w:styleId="206">
    <w:name w:val="Grid Table 5 Dark Accent 1"/>
    <w:basedOn w:val="3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7E2FA"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6FC6"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6FC6"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6FC6"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6FC6" w:themeFill="accent1"/>
      </w:tcPr>
    </w:tblStylePr>
    <w:tblStylePr w:type="band1Vert">
      <w:tcPr>
        <w:shd w:val="clear" w:color="auto" w:fill="90C6F6" w:themeFill="accent1" w:themeFillTint="66"/>
      </w:tcPr>
    </w:tblStylePr>
    <w:tblStylePr w:type="band1Horz">
      <w:tcPr>
        <w:shd w:val="clear" w:color="auto" w:fill="90C6F6" w:themeFill="accent1" w:themeFillTint="66"/>
      </w:tcPr>
    </w:tblStylePr>
  </w:style>
  <w:style w:type="paragraph" w:customStyle="1" w:styleId="207">
    <w:name w:val="二级标题样例"/>
    <w:basedOn w:val="1"/>
    <w:qFormat/>
    <w:uiPriority w:val="0"/>
    <w:pPr>
      <w:spacing w:beforeLines="50" w:afterLines="50" w:line="240" w:lineRule="atLeast"/>
      <w:outlineLvl w:val="1"/>
    </w:pPr>
    <w:rPr>
      <w:rFonts w:ascii="Times New Roman" w:hAnsi="Times New Roman" w:eastAsia="黑体"/>
      <w:b/>
      <w:bCs/>
      <w:color w:val="000000"/>
      <w:sz w:val="30"/>
      <w:szCs w:val="30"/>
    </w:rPr>
  </w:style>
  <w:style w:type="character" w:customStyle="1" w:styleId="208">
    <w:name w:val="15"/>
    <w:basedOn w:val="36"/>
    <w:qFormat/>
    <w:uiPriority w:val="0"/>
    <w:rPr>
      <w:rFonts w:hint="eastAsia" w:ascii="黑体" w:hAnsi="黑体" w:eastAsia="黑体" w:cs="Times New Roman"/>
    </w:rPr>
  </w:style>
  <w:style w:type="table" w:customStyle="1" w:styleId="209">
    <w:name w:val="网格表 4 - 着色 112"/>
    <w:basedOn w:val="32"/>
    <w:qFormat/>
    <w:uiPriority w:val="49"/>
    <w:rPr>
      <w:rFonts w:ascii="Calibri" w:hAnsi="Calibri"/>
    </w:rPr>
    <w:tblP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Pr>
    <w:tblStylePr w:type="firstRow">
      <w:rPr>
        <w:b/>
        <w:bCs/>
        <w:color w:val="FFFFFF" w:themeColor="background1"/>
        <w14:textFill>
          <w14:solidFill>
            <w14:schemeClr w14:val="bg1"/>
          </w14:solidFill>
        </w14:textFill>
      </w:rPr>
      <w:tcPr>
        <w:tcBorders>
          <w:top w:val="single" w:color="0F6FC6" w:themeColor="accent1" w:sz="4" w:space="0"/>
          <w:left w:val="single" w:color="0F6FC6" w:themeColor="accent1" w:sz="4" w:space="0"/>
          <w:bottom w:val="single" w:color="0F6FC6" w:themeColor="accent1" w:sz="4" w:space="0"/>
          <w:right w:val="single" w:color="0F6FC6" w:themeColor="accent1" w:sz="4" w:space="0"/>
          <w:insideH w:val="nil"/>
          <w:insideV w:val="nil"/>
        </w:tcBorders>
        <w:shd w:val="clear" w:color="auto" w:fill="0F6FC6" w:themeFill="accent1"/>
      </w:tcPr>
    </w:tblStylePr>
    <w:tblStylePr w:type="lastRow">
      <w:rPr>
        <w:b/>
        <w:bCs/>
      </w:rPr>
      <w:tcPr>
        <w:tcBorders>
          <w:top w:val="double" w:color="0F6FC6" w:themeColor="accent1" w:sz="4" w:space="0"/>
        </w:tcBorders>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table" w:customStyle="1" w:styleId="210">
    <w:name w:val="Grid Table 1 Light Accent 4"/>
    <w:basedOn w:val="32"/>
    <w:qFormat/>
    <w:uiPriority w:val="46"/>
    <w:tblPr>
      <w:tblBorders>
        <w:top w:val="single" w:color="94F6DB" w:themeColor="accent4" w:themeTint="66" w:sz="4" w:space="0"/>
        <w:left w:val="single" w:color="94F6DB" w:themeColor="accent4" w:themeTint="66" w:sz="4" w:space="0"/>
        <w:bottom w:val="single" w:color="94F6DB" w:themeColor="accent4" w:themeTint="66" w:sz="4" w:space="0"/>
        <w:right w:val="single" w:color="94F6DB" w:themeColor="accent4" w:themeTint="66" w:sz="4" w:space="0"/>
        <w:insideH w:val="single" w:color="94F6DB" w:themeColor="accent4" w:themeTint="66" w:sz="4" w:space="0"/>
        <w:insideV w:val="single" w:color="94F6DB" w:themeColor="accent4" w:themeTint="66" w:sz="4" w:space="0"/>
      </w:tblBorders>
    </w:tblPr>
    <w:tblStylePr w:type="firstRow">
      <w:rPr>
        <w:b/>
        <w:bCs/>
      </w:rPr>
      <w:tcPr>
        <w:tcBorders>
          <w:bottom w:val="single" w:color="5FF2CA" w:themeColor="accent4" w:themeTint="99" w:sz="12" w:space="0"/>
        </w:tcBorders>
      </w:tcPr>
    </w:tblStylePr>
    <w:tblStylePr w:type="lastRow">
      <w:rPr>
        <w:b/>
        <w:bCs/>
      </w:rPr>
      <w:tcPr>
        <w:tcBorders>
          <w:top w:val="double" w:color="5FF2CA" w:themeColor="accent4" w:themeTint="99" w:sz="2" w:space="0"/>
        </w:tcBorders>
      </w:tcPr>
    </w:tblStylePr>
    <w:tblStylePr w:type="firstCol">
      <w:rPr>
        <w:b/>
        <w:bCs/>
      </w:rPr>
    </w:tblStylePr>
    <w:tblStylePr w:type="lastCol">
      <w:rPr>
        <w:b/>
        <w:bCs/>
      </w:rPr>
    </w:tblStylePr>
  </w:style>
  <w:style w:type="character" w:customStyle="1" w:styleId="211">
    <w:name w:val="未处理的提及1"/>
    <w:basedOn w:val="36"/>
    <w:semiHidden/>
    <w:unhideWhenUsed/>
    <w:qFormat/>
    <w:uiPriority w:val="99"/>
    <w:rPr>
      <w:color w:val="605E5C"/>
      <w:shd w:val="clear" w:color="auto" w:fill="E1DFDD"/>
    </w:rPr>
  </w:style>
  <w:style w:type="character" w:customStyle="1" w:styleId="212">
    <w:name w:val="未处理的提及2"/>
    <w:basedOn w:val="36"/>
    <w:semiHidden/>
    <w:unhideWhenUsed/>
    <w:qFormat/>
    <w:uiPriority w:val="99"/>
    <w:rPr>
      <w:color w:val="605E5C"/>
      <w:shd w:val="clear" w:color="auto" w:fill="E1DFDD"/>
    </w:rPr>
  </w:style>
  <w:style w:type="paragraph" w:customStyle="1" w:styleId="213">
    <w:name w:val="样式2"/>
    <w:basedOn w:val="180"/>
    <w:link w:val="214"/>
    <w:qFormat/>
    <w:uiPriority w:val="0"/>
  </w:style>
  <w:style w:type="character" w:customStyle="1" w:styleId="214">
    <w:name w:val="样式2 Char"/>
    <w:basedOn w:val="181"/>
    <w:link w:val="213"/>
    <w:qFormat/>
    <w:uiPriority w:val="0"/>
    <w:rPr>
      <w:rFonts w:ascii="Times New Roman" w:hAnsi="Times New Roman" w:eastAsia="黑体" w:cs="Times New Roman"/>
      <w:color w:val="0F6FC6" w:themeColor="accent5"/>
      <w:sz w:val="21"/>
      <w:szCs w:val="36"/>
      <w:lang w:val="zh-CN" w:eastAsia="zh-CN"/>
      <w14:textFill>
        <w14:solidFill>
          <w14:schemeClr w14:val="accent5"/>
        </w14:solidFill>
      </w14:textFill>
    </w:rPr>
  </w:style>
  <w:style w:type="paragraph" w:customStyle="1" w:styleId="215">
    <w:name w:val="样式3"/>
    <w:basedOn w:val="180"/>
    <w:link w:val="216"/>
    <w:qFormat/>
    <w:uiPriority w:val="0"/>
  </w:style>
  <w:style w:type="character" w:customStyle="1" w:styleId="216">
    <w:name w:val="样式3 Char"/>
    <w:basedOn w:val="181"/>
    <w:link w:val="215"/>
    <w:qFormat/>
    <w:uiPriority w:val="0"/>
    <w:rPr>
      <w:rFonts w:ascii="Times New Roman" w:hAnsi="Times New Roman" w:eastAsia="黑体" w:cs="Times New Roman"/>
      <w:color w:val="0F6FC6" w:themeColor="accent5"/>
      <w:sz w:val="21"/>
      <w:szCs w:val="36"/>
      <w:lang w:val="zh-CN" w:eastAsia="zh-CN"/>
      <w14:textFill>
        <w14:solidFill>
          <w14:schemeClr w14:val="accent5"/>
        </w14:solidFill>
      </w14:textFill>
    </w:rPr>
  </w:style>
  <w:style w:type="character" w:customStyle="1" w:styleId="217">
    <w:name w:val="未处理的提及3"/>
    <w:basedOn w:val="36"/>
    <w:semiHidden/>
    <w:unhideWhenUsed/>
    <w:qFormat/>
    <w:uiPriority w:val="99"/>
    <w:rPr>
      <w:color w:val="605E5C"/>
      <w:shd w:val="clear" w:color="auto" w:fill="E1DFDD"/>
    </w:rPr>
  </w:style>
  <w:style w:type="paragraph" w:customStyle="1" w:styleId="218">
    <w:name w:val="A图表标题"/>
    <w:basedOn w:val="180"/>
    <w:link w:val="219"/>
    <w:qFormat/>
    <w:uiPriority w:val="0"/>
    <w:pPr>
      <w:spacing w:before="50" w:beforeLines="50" w:after="50" w:afterLines="50"/>
    </w:pPr>
    <w:rPr>
      <w:color w:val="0F6FC6" w:themeColor="accent1"/>
      <w14:textFill>
        <w14:solidFill>
          <w14:schemeClr w14:val="accent1"/>
        </w14:solidFill>
      </w14:textFill>
    </w:rPr>
  </w:style>
  <w:style w:type="character" w:customStyle="1" w:styleId="219">
    <w:name w:val="A图表标题 Char"/>
    <w:basedOn w:val="181"/>
    <w:link w:val="218"/>
    <w:qFormat/>
    <w:uiPriority w:val="0"/>
    <w:rPr>
      <w:rFonts w:ascii="Times New Roman" w:hAnsi="Times New Roman" w:eastAsia="黑体" w:cs="Times New Roman"/>
      <w:color w:val="0F6FC6" w:themeColor="accent1"/>
      <w:sz w:val="21"/>
      <w:szCs w:val="36"/>
      <w:lang w:val="zh-CN" w:eastAsia="zh-CN"/>
      <w14:textFill>
        <w14:solidFill>
          <w14:schemeClr w14:val="accent1"/>
        </w14:solidFill>
      </w14:textFill>
    </w:rPr>
  </w:style>
  <w:style w:type="paragraph" w:customStyle="1" w:styleId="220">
    <w:name w:val="A正文"/>
    <w:basedOn w:val="1"/>
    <w:link w:val="221"/>
    <w:qFormat/>
    <w:uiPriority w:val="0"/>
    <w:pPr>
      <w:spacing w:line="360" w:lineRule="auto"/>
      <w:ind w:firstLine="200" w:firstLineChars="200"/>
      <w:jc w:val="both"/>
    </w:pPr>
    <w:rPr>
      <w:rFonts w:ascii="Times New Roman" w:hAnsi="Times New Roman" w:cstheme="minorBidi"/>
      <w:color w:val="000000"/>
    </w:rPr>
  </w:style>
  <w:style w:type="character" w:customStyle="1" w:styleId="221">
    <w:name w:val="A正文 Char"/>
    <w:basedOn w:val="36"/>
    <w:link w:val="220"/>
    <w:qFormat/>
    <w:uiPriority w:val="0"/>
    <w:rPr>
      <w:rFonts w:ascii="Times New Roman" w:hAnsi="Times New Roman" w:cstheme="minorBidi"/>
      <w:color w:val="000000"/>
      <w:sz w:val="24"/>
      <w:szCs w:val="24"/>
    </w:rPr>
  </w:style>
  <w:style w:type="character" w:customStyle="1" w:styleId="222">
    <w:name w:val="未处理的提及4"/>
    <w:basedOn w:val="36"/>
    <w:semiHidden/>
    <w:unhideWhenUsed/>
    <w:qFormat/>
    <w:uiPriority w:val="99"/>
    <w:rPr>
      <w:color w:val="605E5C"/>
      <w:shd w:val="clear" w:color="auto" w:fill="E1DFDD"/>
    </w:rPr>
  </w:style>
  <w:style w:type="character" w:customStyle="1" w:styleId="223">
    <w:name w:val="未处理的提及5"/>
    <w:basedOn w:val="36"/>
    <w:semiHidden/>
    <w:unhideWhenUsed/>
    <w:qFormat/>
    <w:uiPriority w:val="99"/>
    <w:rPr>
      <w:color w:val="605E5C"/>
      <w:shd w:val="clear" w:color="auto" w:fill="E1DFDD"/>
    </w:rPr>
  </w:style>
  <w:style w:type="character" w:customStyle="1" w:styleId="224">
    <w:name w:val="未处理的提及6"/>
    <w:basedOn w:val="36"/>
    <w:semiHidden/>
    <w:unhideWhenUsed/>
    <w:qFormat/>
    <w:uiPriority w:val="99"/>
    <w:rPr>
      <w:color w:val="605E5C"/>
      <w:shd w:val="clear" w:color="auto" w:fill="E1DFDD"/>
    </w:rPr>
  </w:style>
  <w:style w:type="table" w:customStyle="1" w:styleId="225">
    <w:name w:val="2017-20171"/>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6">
    <w:name w:val="2017-201711"/>
    <w:basedOn w:val="32"/>
    <w:qFormat/>
    <w:uiPriority w:val="49"/>
    <w:pPr>
      <w:spacing w:before="100"/>
      <w:jc w:val="center"/>
    </w:pPr>
    <w:rPr>
      <w:rFonts w:ascii="Calibri" w:hAnsi="Calibri" w:eastAsia="Times New Roman"/>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style>
  <w:style w:type="table" w:customStyle="1" w:styleId="227">
    <w:name w:val="2017-20173"/>
    <w:basedOn w:val="32"/>
    <w:qFormat/>
    <w:uiPriority w:val="49"/>
    <w:rPr>
      <w:rFonts w:ascii="Calibri" w:hAnsi="Calibri"/>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8">
    <w:name w:val="2017-20172"/>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9">
    <w:name w:val="2017-20174"/>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30">
    <w:name w:val="2017-20175"/>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31">
    <w:name w:val="2017-20176"/>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32">
    <w:name w:val="2017-20177"/>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33">
    <w:name w:val="2017-20178"/>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34">
    <w:name w:val="网格表 4 - 着色 113"/>
    <w:basedOn w:val="32"/>
    <w:qFormat/>
    <w:uiPriority w:val="49"/>
    <w:rPr>
      <w:rFonts w:ascii="Calibri" w:hAnsi="Calibri"/>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35">
    <w:name w:val="2017-20179"/>
    <w:basedOn w:val="32"/>
    <w:qFormat/>
    <w:uiPriority w:val="49"/>
    <w:pPr>
      <w:spacing w:before="100"/>
      <w:jc w:val="center"/>
    </w:pPr>
    <w:rPr>
      <w:rFonts w:ascii="Times New Roman" w:hAnsi="Times New Roman"/>
      <w:sz w:val="21"/>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paragraph" w:customStyle="1" w:styleId="236">
    <w:name w:val="正文样式"/>
    <w:basedOn w:val="1"/>
    <w:link w:val="237"/>
    <w:qFormat/>
    <w:uiPriority w:val="0"/>
    <w:pPr>
      <w:widowControl w:val="0"/>
      <w:spacing w:before="156" w:beforeLines="50" w:after="156" w:afterLines="50" w:line="360" w:lineRule="auto"/>
      <w:ind w:firstLine="482"/>
      <w:jc w:val="both"/>
    </w:pPr>
    <w:rPr>
      <w:rFonts w:ascii="Times New Roman" w:hAnsi="Times New Roman"/>
      <w:snapToGrid w:val="0"/>
      <w:color w:val="000000" w:themeColor="text1"/>
      <w:szCs w:val="21"/>
      <w14:textFill>
        <w14:solidFill>
          <w14:schemeClr w14:val="tx1"/>
        </w14:solidFill>
      </w14:textFill>
    </w:rPr>
  </w:style>
  <w:style w:type="character" w:customStyle="1" w:styleId="237">
    <w:name w:val="正文样式 Char"/>
    <w:basedOn w:val="36"/>
    <w:link w:val="236"/>
    <w:qFormat/>
    <w:uiPriority w:val="0"/>
    <w:rPr>
      <w:rFonts w:ascii="Times New Roman" w:hAnsi="Times New Roman" w:cs="宋体"/>
      <w:snapToGrid w:val="0"/>
      <w:color w:val="000000" w:themeColor="text1"/>
      <w:sz w:val="24"/>
      <w:szCs w:val="21"/>
      <w14:textFill>
        <w14:solidFill>
          <w14:schemeClr w14:val="tx1"/>
        </w14:solidFill>
      </w14:textFill>
    </w:rPr>
  </w:style>
  <w:style w:type="paragraph" w:customStyle="1" w:styleId="238">
    <w:name w:val="图&amp;表题名"/>
    <w:basedOn w:val="1"/>
    <w:link w:val="239"/>
    <w:qFormat/>
    <w:uiPriority w:val="0"/>
    <w:pPr>
      <w:widowControl w:val="0"/>
      <w:spacing w:after="50" w:afterLines="50" w:line="288" w:lineRule="auto"/>
      <w:ind w:firstLine="94" w:firstLineChars="94"/>
      <w:jc w:val="center"/>
    </w:pPr>
    <w:rPr>
      <w:rFonts w:ascii="Times New Roman" w:hAnsi="Times New Roman" w:eastAsia="黑体"/>
      <w:b/>
      <w:kern w:val="2"/>
      <w:sz w:val="21"/>
      <w:szCs w:val="21"/>
    </w:rPr>
  </w:style>
  <w:style w:type="character" w:customStyle="1" w:styleId="239">
    <w:name w:val="图&amp;表题名 Char"/>
    <w:basedOn w:val="36"/>
    <w:link w:val="238"/>
    <w:qFormat/>
    <w:uiPriority w:val="0"/>
    <w:rPr>
      <w:rFonts w:ascii="Times New Roman" w:hAnsi="Times New Roman" w:eastAsia="黑体"/>
      <w:b/>
      <w:kern w:val="2"/>
      <w:sz w:val="21"/>
      <w:szCs w:val="21"/>
    </w:rPr>
  </w:style>
  <w:style w:type="paragraph" w:customStyle="1" w:styleId="240">
    <w:name w:val="L 表格文字"/>
    <w:basedOn w:val="1"/>
    <w:link w:val="241"/>
    <w:qFormat/>
    <w:uiPriority w:val="0"/>
    <w:pPr>
      <w:jc w:val="center"/>
    </w:pPr>
    <w:rPr>
      <w:rFonts w:ascii="Times New Roman" w:hAnsi="Times New Roman"/>
      <w:kern w:val="2"/>
      <w:sz w:val="21"/>
      <w:szCs w:val="22"/>
    </w:rPr>
  </w:style>
  <w:style w:type="character" w:customStyle="1" w:styleId="241">
    <w:name w:val="L 表格文字 Char"/>
    <w:basedOn w:val="36"/>
    <w:link w:val="240"/>
    <w:qFormat/>
    <w:uiPriority w:val="0"/>
    <w:rPr>
      <w:rFonts w:ascii="Times New Roman" w:hAnsi="Times New Roman"/>
      <w:kern w:val="2"/>
      <w:sz w:val="21"/>
      <w:szCs w:val="22"/>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customXml" Target="../customXml/item1.xml"/><Relationship Id="rId9" Type="http://schemas.openxmlformats.org/officeDocument/2006/relationships/image" Target="media/image3.jpeg"/><Relationship Id="rId89" Type="http://schemas.openxmlformats.org/officeDocument/2006/relationships/image" Target="media/image7.jpeg"/><Relationship Id="rId88" Type="http://schemas.openxmlformats.org/officeDocument/2006/relationships/chart" Target="charts/chart66.xml"/><Relationship Id="rId87" Type="http://schemas.openxmlformats.org/officeDocument/2006/relationships/chart" Target="charts/chart65.xml"/><Relationship Id="rId86" Type="http://schemas.openxmlformats.org/officeDocument/2006/relationships/chart" Target="charts/chart64.xml"/><Relationship Id="rId85" Type="http://schemas.openxmlformats.org/officeDocument/2006/relationships/chart" Target="charts/chart63.xml"/><Relationship Id="rId84" Type="http://schemas.openxmlformats.org/officeDocument/2006/relationships/chart" Target="charts/chart62.xml"/><Relationship Id="rId83" Type="http://schemas.openxmlformats.org/officeDocument/2006/relationships/chart" Target="charts/chart61.xml"/><Relationship Id="rId82" Type="http://schemas.openxmlformats.org/officeDocument/2006/relationships/chart" Target="charts/chart60.xml"/><Relationship Id="rId81" Type="http://schemas.openxmlformats.org/officeDocument/2006/relationships/chart" Target="charts/chart59.xml"/><Relationship Id="rId80" Type="http://schemas.openxmlformats.org/officeDocument/2006/relationships/chart" Target="charts/chart58.xml"/><Relationship Id="rId8" Type="http://schemas.openxmlformats.org/officeDocument/2006/relationships/image" Target="media/image2.jpeg"/><Relationship Id="rId79" Type="http://schemas.openxmlformats.org/officeDocument/2006/relationships/chart" Target="charts/chart57.xml"/><Relationship Id="rId78" Type="http://schemas.openxmlformats.org/officeDocument/2006/relationships/chart" Target="charts/chart56.xml"/><Relationship Id="rId77" Type="http://schemas.openxmlformats.org/officeDocument/2006/relationships/chart" Target="charts/chart55.xml"/><Relationship Id="rId76" Type="http://schemas.openxmlformats.org/officeDocument/2006/relationships/chart" Target="charts/chart54.xml"/><Relationship Id="rId75" Type="http://schemas.openxmlformats.org/officeDocument/2006/relationships/chart" Target="charts/chart53.xml"/><Relationship Id="rId74" Type="http://schemas.openxmlformats.org/officeDocument/2006/relationships/chart" Target="charts/chart52.xml"/><Relationship Id="rId73" Type="http://schemas.openxmlformats.org/officeDocument/2006/relationships/chart" Target="charts/chart51.xml"/><Relationship Id="rId72" Type="http://schemas.openxmlformats.org/officeDocument/2006/relationships/chart" Target="charts/chart50.xml"/><Relationship Id="rId71" Type="http://schemas.openxmlformats.org/officeDocument/2006/relationships/chart" Target="charts/chart49.xml"/><Relationship Id="rId70" Type="http://schemas.openxmlformats.org/officeDocument/2006/relationships/chart" Target="charts/chart48.xml"/><Relationship Id="rId7" Type="http://schemas.openxmlformats.org/officeDocument/2006/relationships/theme" Target="theme/theme1.xml"/><Relationship Id="rId69" Type="http://schemas.openxmlformats.org/officeDocument/2006/relationships/chart" Target="charts/chart47.xml"/><Relationship Id="rId68" Type="http://schemas.openxmlformats.org/officeDocument/2006/relationships/chart" Target="charts/chart46.xml"/><Relationship Id="rId67" Type="http://schemas.openxmlformats.org/officeDocument/2006/relationships/chart" Target="charts/chart45.xml"/><Relationship Id="rId66" Type="http://schemas.openxmlformats.org/officeDocument/2006/relationships/chart" Target="charts/chart44.xml"/><Relationship Id="rId65" Type="http://schemas.openxmlformats.org/officeDocument/2006/relationships/chart" Target="charts/chart43.xml"/><Relationship Id="rId64" Type="http://schemas.openxmlformats.org/officeDocument/2006/relationships/chart" Target="charts/chart42.xml"/><Relationship Id="rId63" Type="http://schemas.openxmlformats.org/officeDocument/2006/relationships/chart" Target="charts/chart41.xml"/><Relationship Id="rId62" Type="http://schemas.openxmlformats.org/officeDocument/2006/relationships/chart" Target="charts/chart40.xml"/><Relationship Id="rId61" Type="http://schemas.openxmlformats.org/officeDocument/2006/relationships/chart" Target="charts/chart39.xml"/><Relationship Id="rId60" Type="http://schemas.openxmlformats.org/officeDocument/2006/relationships/chart" Target="charts/chart38.xml"/><Relationship Id="rId6" Type="http://schemas.openxmlformats.org/officeDocument/2006/relationships/header" Target="header2.xml"/><Relationship Id="rId59" Type="http://schemas.openxmlformats.org/officeDocument/2006/relationships/chart" Target="charts/chart37.xml"/><Relationship Id="rId58" Type="http://schemas.openxmlformats.org/officeDocument/2006/relationships/chart" Target="charts/chart36.xml"/><Relationship Id="rId57" Type="http://schemas.openxmlformats.org/officeDocument/2006/relationships/chart" Target="charts/chart35.xml"/><Relationship Id="rId56" Type="http://schemas.openxmlformats.org/officeDocument/2006/relationships/chart" Target="charts/chart34.xml"/><Relationship Id="rId55" Type="http://schemas.openxmlformats.org/officeDocument/2006/relationships/chart" Target="charts/chart33.xml"/><Relationship Id="rId54" Type="http://schemas.openxmlformats.org/officeDocument/2006/relationships/chart" Target="charts/chart32.xml"/><Relationship Id="rId53" Type="http://schemas.openxmlformats.org/officeDocument/2006/relationships/chart" Target="charts/chart31.xml"/><Relationship Id="rId52" Type="http://schemas.openxmlformats.org/officeDocument/2006/relationships/chart" Target="charts/chart30.xml"/><Relationship Id="rId51" Type="http://schemas.openxmlformats.org/officeDocument/2006/relationships/chart" Target="charts/chart29.xml"/><Relationship Id="rId50" Type="http://schemas.openxmlformats.org/officeDocument/2006/relationships/chart" Target="charts/chart28.xml"/><Relationship Id="rId5" Type="http://schemas.openxmlformats.org/officeDocument/2006/relationships/footer" Target="footer1.xml"/><Relationship Id="rId49" Type="http://schemas.openxmlformats.org/officeDocument/2006/relationships/chart" Target="charts/chart27.xml"/><Relationship Id="rId48" Type="http://schemas.openxmlformats.org/officeDocument/2006/relationships/chart" Target="charts/chart26.xml"/><Relationship Id="rId47" Type="http://schemas.openxmlformats.org/officeDocument/2006/relationships/chart" Target="charts/chart25.xml"/><Relationship Id="rId46" Type="http://schemas.openxmlformats.org/officeDocument/2006/relationships/chart" Target="charts/chart24.xml"/><Relationship Id="rId45" Type="http://schemas.openxmlformats.org/officeDocument/2006/relationships/chart" Target="charts/chart23.xml"/><Relationship Id="rId44" Type="http://schemas.openxmlformats.org/officeDocument/2006/relationships/chart" Target="charts/chart22.xml"/><Relationship Id="rId43" Type="http://schemas.openxmlformats.org/officeDocument/2006/relationships/chart" Target="charts/chart21.xml"/><Relationship Id="rId42" Type="http://schemas.openxmlformats.org/officeDocument/2006/relationships/chart" Target="charts/chart20.xml"/><Relationship Id="rId41" Type="http://schemas.openxmlformats.org/officeDocument/2006/relationships/chart" Target="charts/chart19.xml"/><Relationship Id="rId40" Type="http://schemas.openxmlformats.org/officeDocument/2006/relationships/chart" Target="charts/chart18.xml"/><Relationship Id="rId4" Type="http://schemas.openxmlformats.org/officeDocument/2006/relationships/header" Target="header1.xml"/><Relationship Id="rId39" Type="http://schemas.openxmlformats.org/officeDocument/2006/relationships/chart" Target="charts/chart17.xml"/><Relationship Id="rId38" Type="http://schemas.openxmlformats.org/officeDocument/2006/relationships/chart" Target="charts/chart16.xml"/><Relationship Id="rId37" Type="http://schemas.openxmlformats.org/officeDocument/2006/relationships/chart" Target="charts/chart15.xml"/><Relationship Id="rId36" Type="http://schemas.openxmlformats.org/officeDocument/2006/relationships/chart" Target="charts/chart14.xml"/><Relationship Id="rId35" Type="http://schemas.openxmlformats.org/officeDocument/2006/relationships/chart" Target="charts/chart13.xml"/><Relationship Id="rId34" Type="http://schemas.openxmlformats.org/officeDocument/2006/relationships/chart" Target="charts/chart12.xml"/><Relationship Id="rId33" Type="http://schemas.openxmlformats.org/officeDocument/2006/relationships/chart" Target="charts/chart11.xml"/><Relationship Id="rId32" Type="http://schemas.openxmlformats.org/officeDocument/2006/relationships/chart" Target="charts/chart10.xml"/><Relationship Id="rId31" Type="http://schemas.openxmlformats.org/officeDocument/2006/relationships/chart" Target="charts/chart9.xml"/><Relationship Id="rId30" Type="http://schemas.openxmlformats.org/officeDocument/2006/relationships/chart" Target="charts/chart8.xml"/><Relationship Id="rId3" Type="http://schemas.openxmlformats.org/officeDocument/2006/relationships/footnotes" Target="footnotes.xml"/><Relationship Id="rId29" Type="http://schemas.openxmlformats.org/officeDocument/2006/relationships/chart" Target="charts/chart7.xml"/><Relationship Id="rId28" Type="http://schemas.openxmlformats.org/officeDocument/2006/relationships/chart" Target="charts/chart6.xml"/><Relationship Id="rId27" Type="http://schemas.openxmlformats.org/officeDocument/2006/relationships/chart" Target="charts/chart5.xml"/><Relationship Id="rId26" Type="http://schemas.openxmlformats.org/officeDocument/2006/relationships/chart" Target="charts/chart4.xml"/><Relationship Id="rId25" Type="http://schemas.openxmlformats.org/officeDocument/2006/relationships/chart" Target="charts/chart3.xml"/><Relationship Id="rId24" Type="http://schemas.openxmlformats.org/officeDocument/2006/relationships/image" Target="media/image6.jpeg"/><Relationship Id="rId23" Type="http://schemas.openxmlformats.org/officeDocument/2006/relationships/chart" Target="charts/chart2.xml"/><Relationship Id="rId22" Type="http://schemas.openxmlformats.org/officeDocument/2006/relationships/chart" Target="charts/chart1.xml"/><Relationship Id="rId21" Type="http://schemas.microsoft.com/office/2007/relationships/diagramDrawing" Target="diagrams/drawing2.xml"/><Relationship Id="rId20" Type="http://schemas.openxmlformats.org/officeDocument/2006/relationships/diagramColors" Target="diagrams/colors2.xml"/><Relationship Id="rId2" Type="http://schemas.openxmlformats.org/officeDocument/2006/relationships/settings" Target="settings.xml"/><Relationship Id="rId19" Type="http://schemas.openxmlformats.org/officeDocument/2006/relationships/diagramQuickStyle" Target="diagrams/quickStyle2.xml"/><Relationship Id="rId18" Type="http://schemas.openxmlformats.org/officeDocument/2006/relationships/diagramLayout" Target="diagrams/layout2.xml"/><Relationship Id="rId17" Type="http://schemas.openxmlformats.org/officeDocument/2006/relationships/diagramData" Target="diagrams/data2.xml"/><Relationship Id="rId16" Type="http://schemas.microsoft.com/office/2007/relationships/diagramDrawing" Target="diagrams/drawing1.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package" Target="../embeddings/Workbook10.xlsx"/></Relationships>
</file>

<file path=word/charts/_rels/chart11.xml.rels><?xml version="1.0" encoding="UTF-8" standalone="yes"?>
<Relationships xmlns="http://schemas.openxmlformats.org/package/2006/relationships"><Relationship Id="rId5" Type="http://schemas.microsoft.com/office/2011/relationships/chartColorStyle" Target="colors6.xml"/><Relationship Id="rId4" Type="http://schemas.microsoft.com/office/2011/relationships/chartStyle" Target="style6.xml"/><Relationship Id="rId3" Type="http://schemas.openxmlformats.org/officeDocument/2006/relationships/chartUserShapes" Target="../drawings/drawing1.xml"/><Relationship Id="rId2" Type="http://schemas.openxmlformats.org/officeDocument/2006/relationships/themeOverride" Target="../theme/themeOverride4.xml"/><Relationship Id="rId1" Type="http://schemas.openxmlformats.org/officeDocument/2006/relationships/package" Target="../embeddings/Workbook11.xlsx"/></Relationships>
</file>

<file path=word/charts/_rels/chart12.xml.rels><?xml version="1.0" encoding="UTF-8" standalone="yes"?>
<Relationships xmlns="http://schemas.openxmlformats.org/package/2006/relationships"><Relationship Id="rId5" Type="http://schemas.microsoft.com/office/2011/relationships/chartColorStyle" Target="colors7.xml"/><Relationship Id="rId4" Type="http://schemas.microsoft.com/office/2011/relationships/chartStyle" Target="style7.xml"/><Relationship Id="rId3" Type="http://schemas.openxmlformats.org/officeDocument/2006/relationships/chartUserShapes" Target="../drawings/drawing2.xml"/><Relationship Id="rId2" Type="http://schemas.openxmlformats.org/officeDocument/2006/relationships/themeOverride" Target="../theme/themeOverride5.xml"/><Relationship Id="rId1" Type="http://schemas.openxmlformats.org/officeDocument/2006/relationships/package" Target="../embeddings/Workbook12.xlsx"/></Relationships>
</file>

<file path=word/charts/_rels/chart13.xml.rels><?xml version="1.0" encoding="UTF-8" standalone="yes"?>
<Relationships xmlns="http://schemas.openxmlformats.org/package/2006/relationships"><Relationship Id="rId5" Type="http://schemas.microsoft.com/office/2011/relationships/chartColorStyle" Target="colors8.xml"/><Relationship Id="rId4" Type="http://schemas.microsoft.com/office/2011/relationships/chartStyle" Target="style8.xml"/><Relationship Id="rId3" Type="http://schemas.openxmlformats.org/officeDocument/2006/relationships/chartUserShapes" Target="../drawings/drawing3.xml"/><Relationship Id="rId2" Type="http://schemas.openxmlformats.org/officeDocument/2006/relationships/themeOverride" Target="../theme/themeOverride6.xml"/><Relationship Id="rId1" Type="http://schemas.openxmlformats.org/officeDocument/2006/relationships/package" Target="../embeddings/Workbook13.xlsx"/></Relationships>
</file>

<file path=word/charts/_rels/chart1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14.xlsx"/></Relationships>
</file>

<file path=word/charts/_rels/chart1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5.xlsx"/></Relationships>
</file>

<file path=word/charts/_rels/chart16.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7.xml"/><Relationship Id="rId1" Type="http://schemas.openxmlformats.org/officeDocument/2006/relationships/package" Target="../embeddings/Workbook16.xlsx"/></Relationships>
</file>

<file path=word/charts/_rels/chart17.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7.xlsx"/></Relationships>
</file>

<file path=word/charts/_rels/chart18.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8.xml"/><Relationship Id="rId1" Type="http://schemas.openxmlformats.org/officeDocument/2006/relationships/package" Target="../embeddings/Workbook18.xlsx"/></Relationships>
</file>

<file path=word/charts/_rels/chart19.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9.xlsx"/></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0.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20.xlsx"/></Relationships>
</file>

<file path=word/charts/_rels/chart21.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chartUserShapes" Target="../drawings/drawing4.xml"/><Relationship Id="rId1" Type="http://schemas.openxmlformats.org/officeDocument/2006/relationships/package" Target="../embeddings/Workbook21.xlsx"/></Relationships>
</file>

<file path=word/charts/_rels/chart22.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chartUserShapes" Target="../drawings/drawing5.xml"/><Relationship Id="rId1" Type="http://schemas.openxmlformats.org/officeDocument/2006/relationships/package" Target="../embeddings/Workbook22.xlsx"/></Relationships>
</file>

<file path=word/charts/_rels/chart23.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chartUserShapes" Target="../drawings/drawing6.xml"/><Relationship Id="rId1" Type="http://schemas.openxmlformats.org/officeDocument/2006/relationships/package" Target="../embeddings/Workbook23.xlsx"/></Relationships>
</file>

<file path=word/charts/_rels/chart24.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24.xlsx"/></Relationships>
</file>

<file path=word/charts/_rels/chart25.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chartUserShapes" Target="../drawings/drawing7.xml"/><Relationship Id="rId1" Type="http://schemas.openxmlformats.org/officeDocument/2006/relationships/package" Target="../embeddings/Workbook25.xlsx"/></Relationships>
</file>

<file path=word/charts/_rels/chart2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26.xlsx"/></Relationships>
</file>

<file path=word/charts/_rels/chart27.xml.rels><?xml version="1.0" encoding="UTF-8" standalone="yes"?>
<Relationships xmlns="http://schemas.openxmlformats.org/package/2006/relationships"><Relationship Id="rId4" Type="http://schemas.microsoft.com/office/2011/relationships/chartColorStyle" Target="colors21.xml"/><Relationship Id="rId3" Type="http://schemas.microsoft.com/office/2011/relationships/chartStyle" Target="style21.xml"/><Relationship Id="rId2" Type="http://schemas.openxmlformats.org/officeDocument/2006/relationships/themeOverride" Target="../theme/themeOverride9.xml"/><Relationship Id="rId1" Type="http://schemas.openxmlformats.org/officeDocument/2006/relationships/package" Target="../embeddings/Workbook27.xlsx"/></Relationships>
</file>

<file path=word/charts/_rels/chart28.xml.rels><?xml version="1.0" encoding="UTF-8" standalone="yes"?>
<Relationships xmlns="http://schemas.openxmlformats.org/package/2006/relationships"><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package" Target="../embeddings/Workbook28.xlsx"/></Relationships>
</file>

<file path=word/charts/_rels/chart29.xml.rels><?xml version="1.0" encoding="UTF-8" standalone="yes"?>
<Relationships xmlns="http://schemas.openxmlformats.org/package/2006/relationships"><Relationship Id="rId5" Type="http://schemas.openxmlformats.org/officeDocument/2006/relationships/image" Target="../media/image16.png"/><Relationship Id="rId4" Type="http://schemas.openxmlformats.org/officeDocument/2006/relationships/image" Target="../media/image15.png"/><Relationship Id="rId3" Type="http://schemas.openxmlformats.org/officeDocument/2006/relationships/image" Target="../media/image8.png"/><Relationship Id="rId2" Type="http://schemas.openxmlformats.org/officeDocument/2006/relationships/image" Target="../media/image14.png"/><Relationship Id="rId1" Type="http://schemas.openxmlformats.org/officeDocument/2006/relationships/package" Target="../embeddings/Workbook29.xlsx"/></Relationships>
</file>

<file path=word/charts/_rels/chart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3.xlsx"/></Relationships>
</file>

<file path=word/charts/_rels/chart30.xml.rels><?xml version="1.0" encoding="UTF-8" standalone="yes"?>
<Relationships xmlns="http://schemas.openxmlformats.org/package/2006/relationships"><Relationship Id="rId4" Type="http://schemas.microsoft.com/office/2011/relationships/chartColorStyle" Target="colors22.xml"/><Relationship Id="rId3" Type="http://schemas.microsoft.com/office/2011/relationships/chartStyle" Target="style22.xml"/><Relationship Id="rId2" Type="http://schemas.openxmlformats.org/officeDocument/2006/relationships/image" Target="../media/image17.png"/><Relationship Id="rId1" Type="http://schemas.openxmlformats.org/officeDocument/2006/relationships/package" Target="../embeddings/Workbook30.xlsx"/></Relationships>
</file>

<file path=word/charts/_rels/chart31.xml.rels><?xml version="1.0" encoding="UTF-8" standalone="yes"?>
<Relationships xmlns="http://schemas.openxmlformats.org/package/2006/relationships"><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package" Target="../embeddings/Workbook31.xlsx"/></Relationships>
</file>

<file path=word/charts/_rels/chart32.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themeOverride" Target="../theme/themeOverride10.xml"/><Relationship Id="rId1" Type="http://schemas.openxmlformats.org/officeDocument/2006/relationships/package" Target="../embeddings/Workbook32.xlsx"/></Relationships>
</file>

<file path=word/charts/_rels/chart33.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33.xlsx"/></Relationships>
</file>

<file path=word/charts/_rels/chart34.xml.rels><?xml version="1.0" encoding="UTF-8" standalone="yes"?>
<Relationships xmlns="http://schemas.openxmlformats.org/package/2006/relationships"><Relationship Id="rId4" Type="http://schemas.microsoft.com/office/2011/relationships/chartColorStyle" Target="colors25.xml"/><Relationship Id="rId3" Type="http://schemas.microsoft.com/office/2011/relationships/chartStyle" Target="style25.xml"/><Relationship Id="rId2" Type="http://schemas.openxmlformats.org/officeDocument/2006/relationships/image" Target="../media/image18.png"/><Relationship Id="rId1" Type="http://schemas.openxmlformats.org/officeDocument/2006/relationships/package" Target="../embeddings/Workbook34.xlsx"/></Relationships>
</file>

<file path=word/charts/_rels/chart3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35.xlsx"/></Relationships>
</file>

<file path=word/charts/_rels/chart36.xml.rels><?xml version="1.0" encoding="UTF-8" standalone="yes"?>
<Relationships xmlns="http://schemas.openxmlformats.org/package/2006/relationships"><Relationship Id="rId4" Type="http://schemas.microsoft.com/office/2011/relationships/chartColorStyle" Target="colors26.xml"/><Relationship Id="rId3" Type="http://schemas.microsoft.com/office/2011/relationships/chartStyle" Target="style26.xml"/><Relationship Id="rId2" Type="http://schemas.openxmlformats.org/officeDocument/2006/relationships/themeOverride" Target="../theme/themeOverride11.xml"/><Relationship Id="rId1" Type="http://schemas.openxmlformats.org/officeDocument/2006/relationships/package" Target="../embeddings/Workbook36.xlsx"/></Relationships>
</file>

<file path=word/charts/_rels/chart37.xml.rels><?xml version="1.0" encoding="UTF-8" standalone="yes"?>
<Relationships xmlns="http://schemas.openxmlformats.org/package/2006/relationships"><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package" Target="../embeddings/Workbook37.xlsx"/></Relationships>
</file>

<file path=word/charts/_rels/chart38.xml.rels><?xml version="1.0" encoding="UTF-8" standalone="yes"?>
<Relationships xmlns="http://schemas.openxmlformats.org/package/2006/relationships"><Relationship Id="rId5" Type="http://schemas.openxmlformats.org/officeDocument/2006/relationships/image" Target="../media/image16.png"/><Relationship Id="rId4" Type="http://schemas.openxmlformats.org/officeDocument/2006/relationships/image" Target="../media/image15.png"/><Relationship Id="rId3" Type="http://schemas.openxmlformats.org/officeDocument/2006/relationships/image" Target="../media/image8.png"/><Relationship Id="rId2" Type="http://schemas.openxmlformats.org/officeDocument/2006/relationships/image" Target="../media/image14.png"/><Relationship Id="rId1" Type="http://schemas.openxmlformats.org/officeDocument/2006/relationships/package" Target="../embeddings/Workbook38.xlsx"/></Relationships>
</file>

<file path=word/charts/_rels/chart39.xml.rels><?xml version="1.0" encoding="UTF-8" standalone="yes"?>
<Relationships xmlns="http://schemas.openxmlformats.org/package/2006/relationships"><Relationship Id="rId4" Type="http://schemas.microsoft.com/office/2011/relationships/chartColorStyle" Target="colors27.xml"/><Relationship Id="rId3" Type="http://schemas.microsoft.com/office/2011/relationships/chartStyle" Target="style27.xml"/><Relationship Id="rId2" Type="http://schemas.openxmlformats.org/officeDocument/2006/relationships/image" Target="../media/image17.png"/><Relationship Id="rId1" Type="http://schemas.openxmlformats.org/officeDocument/2006/relationships/package" Target="../embeddings/Workbook39.xlsx"/></Relationships>
</file>

<file path=word/charts/_rels/chart4.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4.xlsx"/></Relationships>
</file>

<file path=word/charts/_rels/chart40.xml.rels><?xml version="1.0" encoding="UTF-8" standalone="yes"?>
<Relationships xmlns="http://schemas.openxmlformats.org/package/2006/relationships"><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package" Target="../embeddings/Workbook40.xlsx"/></Relationships>
</file>

<file path=word/charts/_rels/chart41.xml.rels><?xml version="1.0" encoding="UTF-8" standalone="yes"?>
<Relationships xmlns="http://schemas.openxmlformats.org/package/2006/relationships"><Relationship Id="rId4" Type="http://schemas.microsoft.com/office/2011/relationships/chartColorStyle" Target="colors28.xml"/><Relationship Id="rId3" Type="http://schemas.microsoft.com/office/2011/relationships/chartStyle" Target="style28.xml"/><Relationship Id="rId2" Type="http://schemas.openxmlformats.org/officeDocument/2006/relationships/themeOverride" Target="../theme/themeOverride12.xml"/><Relationship Id="rId1" Type="http://schemas.openxmlformats.org/officeDocument/2006/relationships/package" Target="../embeddings/Workbook41.xlsx"/></Relationships>
</file>

<file path=word/charts/_rels/chart42.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42.xlsx"/></Relationships>
</file>

<file path=word/charts/_rels/chart43.xml.rels><?xml version="1.0" encoding="UTF-8" standalone="yes"?>
<Relationships xmlns="http://schemas.openxmlformats.org/package/2006/relationships"><Relationship Id="rId4" Type="http://schemas.microsoft.com/office/2011/relationships/chartColorStyle" Target="colors30.xml"/><Relationship Id="rId3" Type="http://schemas.microsoft.com/office/2011/relationships/chartStyle" Target="style30.xml"/><Relationship Id="rId2" Type="http://schemas.openxmlformats.org/officeDocument/2006/relationships/themeOverride" Target="../theme/themeOverride13.xml"/><Relationship Id="rId1" Type="http://schemas.openxmlformats.org/officeDocument/2006/relationships/package" Target="../embeddings/Workbook43.xlsx"/></Relationships>
</file>

<file path=word/charts/_rels/chart44.xml.rels><?xml version="1.0" encoding="UTF-8" standalone="yes"?>
<Relationships xmlns="http://schemas.openxmlformats.org/package/2006/relationships"><Relationship Id="rId4" Type="http://schemas.microsoft.com/office/2011/relationships/chartColorStyle" Target="colors31.xml"/><Relationship Id="rId3" Type="http://schemas.microsoft.com/office/2011/relationships/chartStyle" Target="style31.xml"/><Relationship Id="rId2" Type="http://schemas.openxmlformats.org/officeDocument/2006/relationships/themeOverride" Target="../theme/themeOverride14.xml"/><Relationship Id="rId1" Type="http://schemas.openxmlformats.org/officeDocument/2006/relationships/package" Target="../embeddings/Workbook44.xlsx"/></Relationships>
</file>

<file path=word/charts/_rels/chart45.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45.xlsx"/></Relationships>
</file>

<file path=word/charts/_rels/chart46.xml.rels><?xml version="1.0" encoding="UTF-8" standalone="yes"?>
<Relationships xmlns="http://schemas.openxmlformats.org/package/2006/relationships"><Relationship Id="rId4" Type="http://schemas.microsoft.com/office/2011/relationships/chartColorStyle" Target="colors32.xml"/><Relationship Id="rId3" Type="http://schemas.microsoft.com/office/2011/relationships/chartStyle" Target="style32.xml"/><Relationship Id="rId2" Type="http://schemas.openxmlformats.org/officeDocument/2006/relationships/themeOverride" Target="../theme/themeOverride16.xml"/><Relationship Id="rId1" Type="http://schemas.openxmlformats.org/officeDocument/2006/relationships/package" Target="../embeddings/Workbook46.xlsx"/></Relationships>
</file>

<file path=word/charts/_rels/chart47.xml.rels><?xml version="1.0" encoding="UTF-8" standalone="yes"?>
<Relationships xmlns="http://schemas.openxmlformats.org/package/2006/relationships"><Relationship Id="rId4" Type="http://schemas.microsoft.com/office/2011/relationships/chartColorStyle" Target="colors33.xml"/><Relationship Id="rId3" Type="http://schemas.microsoft.com/office/2011/relationships/chartStyle" Target="style33.xml"/><Relationship Id="rId2" Type="http://schemas.openxmlformats.org/officeDocument/2006/relationships/themeOverride" Target="../theme/themeOverride17.xml"/><Relationship Id="rId1" Type="http://schemas.openxmlformats.org/officeDocument/2006/relationships/package" Target="../embeddings/Workbook47.xlsx"/></Relationships>
</file>

<file path=word/charts/_rels/chart4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48.xlsx"/></Relationships>
</file>

<file path=word/charts/_rels/chart49.xml.rels><?xml version="1.0" encoding="UTF-8" standalone="yes"?>
<Relationships xmlns="http://schemas.openxmlformats.org/package/2006/relationships"><Relationship Id="rId4" Type="http://schemas.microsoft.com/office/2011/relationships/chartColorStyle" Target="colors34.xml"/><Relationship Id="rId3" Type="http://schemas.microsoft.com/office/2011/relationships/chartStyle" Target="style34.xml"/><Relationship Id="rId2" Type="http://schemas.openxmlformats.org/officeDocument/2006/relationships/themeOverride" Target="../theme/themeOverride18.xml"/><Relationship Id="rId1" Type="http://schemas.openxmlformats.org/officeDocument/2006/relationships/package" Target="../embeddings/Workbook49.xlsx"/></Relationships>
</file>

<file path=word/charts/_rels/chart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5.xlsx"/></Relationships>
</file>

<file path=word/charts/_rels/chart50.xml.rels><?xml version="1.0" encoding="UTF-8" standalone="yes"?>
<Relationships xmlns="http://schemas.openxmlformats.org/package/2006/relationships"><Relationship Id="rId4" Type="http://schemas.microsoft.com/office/2011/relationships/chartColorStyle" Target="colors35.xml"/><Relationship Id="rId3" Type="http://schemas.microsoft.com/office/2011/relationships/chartStyle" Target="style35.xml"/><Relationship Id="rId2" Type="http://schemas.openxmlformats.org/officeDocument/2006/relationships/themeOverride" Target="../theme/themeOverride19.xml"/><Relationship Id="rId1" Type="http://schemas.openxmlformats.org/officeDocument/2006/relationships/package" Target="../embeddings/Workbook50.xlsx"/></Relationships>
</file>

<file path=word/charts/_rels/chart51.xml.rels><?xml version="1.0" encoding="UTF-8" standalone="yes"?>
<Relationships xmlns="http://schemas.openxmlformats.org/package/2006/relationships"><Relationship Id="rId4" Type="http://schemas.microsoft.com/office/2011/relationships/chartColorStyle" Target="colors36.xml"/><Relationship Id="rId3" Type="http://schemas.microsoft.com/office/2011/relationships/chartStyle" Target="style36.xml"/><Relationship Id="rId2" Type="http://schemas.openxmlformats.org/officeDocument/2006/relationships/themeOverride" Target="../theme/themeOverride20.xml"/><Relationship Id="rId1" Type="http://schemas.openxmlformats.org/officeDocument/2006/relationships/package" Target="../embeddings/Workbook51.xlsx"/></Relationships>
</file>

<file path=word/charts/_rels/chart5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52.xlsx"/></Relationships>
</file>

<file path=word/charts/_rels/chart53.xml.rels><?xml version="1.0" encoding="UTF-8" standalone="yes"?>
<Relationships xmlns="http://schemas.openxmlformats.org/package/2006/relationships"><Relationship Id="rId4" Type="http://schemas.microsoft.com/office/2011/relationships/chartColorStyle" Target="colors37.xml"/><Relationship Id="rId3" Type="http://schemas.microsoft.com/office/2011/relationships/chartStyle" Target="style37.xml"/><Relationship Id="rId2" Type="http://schemas.openxmlformats.org/officeDocument/2006/relationships/themeOverride" Target="../theme/themeOverride21.xml"/><Relationship Id="rId1" Type="http://schemas.openxmlformats.org/officeDocument/2006/relationships/package" Target="../embeddings/Workbook53.xlsx"/></Relationships>
</file>

<file path=word/charts/_rels/chart54.xml.rels><?xml version="1.0" encoding="UTF-8" standalone="yes"?>
<Relationships xmlns="http://schemas.openxmlformats.org/package/2006/relationships"><Relationship Id="rId4" Type="http://schemas.microsoft.com/office/2011/relationships/chartColorStyle" Target="colors38.xml"/><Relationship Id="rId3" Type="http://schemas.microsoft.com/office/2011/relationships/chartStyle" Target="style38.xml"/><Relationship Id="rId2" Type="http://schemas.openxmlformats.org/officeDocument/2006/relationships/themeOverride" Target="../theme/themeOverride22.xml"/><Relationship Id="rId1" Type="http://schemas.openxmlformats.org/officeDocument/2006/relationships/package" Target="../embeddings/Workbook54.xlsx"/></Relationships>
</file>

<file path=word/charts/_rels/chart55.xml.rels><?xml version="1.0" encoding="UTF-8" standalone="yes"?>
<Relationships xmlns="http://schemas.openxmlformats.org/package/2006/relationships"><Relationship Id="rId4" Type="http://schemas.microsoft.com/office/2011/relationships/chartColorStyle" Target="colors39.xml"/><Relationship Id="rId3" Type="http://schemas.microsoft.com/office/2011/relationships/chartStyle" Target="style39.xml"/><Relationship Id="rId2" Type="http://schemas.openxmlformats.org/officeDocument/2006/relationships/themeOverride" Target="../theme/themeOverride23.xml"/><Relationship Id="rId1" Type="http://schemas.openxmlformats.org/officeDocument/2006/relationships/package" Target="../embeddings/Workbook55.xlsx"/></Relationships>
</file>

<file path=word/charts/_rels/chart56.xml.rels><?xml version="1.0" encoding="UTF-8" standalone="yes"?>
<Relationships xmlns="http://schemas.openxmlformats.org/package/2006/relationships"><Relationship Id="rId4" Type="http://schemas.microsoft.com/office/2011/relationships/chartColorStyle" Target="colors40.xml"/><Relationship Id="rId3" Type="http://schemas.microsoft.com/office/2011/relationships/chartStyle" Target="style40.xml"/><Relationship Id="rId2" Type="http://schemas.openxmlformats.org/officeDocument/2006/relationships/themeOverride" Target="../theme/themeOverride24.xml"/><Relationship Id="rId1" Type="http://schemas.openxmlformats.org/officeDocument/2006/relationships/package" Target="../embeddings/Workbook56.xlsx"/></Relationships>
</file>

<file path=word/charts/_rels/chart57.xml.rels><?xml version="1.0" encoding="UTF-8" standalone="yes"?>
<Relationships xmlns="http://schemas.openxmlformats.org/package/2006/relationships"><Relationship Id="rId4" Type="http://schemas.microsoft.com/office/2011/relationships/chartColorStyle" Target="colors41.xml"/><Relationship Id="rId3" Type="http://schemas.microsoft.com/office/2011/relationships/chartStyle" Target="style41.xml"/><Relationship Id="rId2" Type="http://schemas.openxmlformats.org/officeDocument/2006/relationships/themeOverride" Target="../theme/themeOverride25.xml"/><Relationship Id="rId1" Type="http://schemas.openxmlformats.org/officeDocument/2006/relationships/package" Target="../embeddings/Workbook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Workbook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Workbook59.xlsx"/></Relationships>
</file>

<file path=word/charts/_rels/chart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6.xlsx"/></Relationships>
</file>

<file path=word/charts/_rels/chart60.xml.rels><?xml version="1.0" encoding="UTF-8" standalone="yes"?>
<Relationships xmlns="http://schemas.openxmlformats.org/package/2006/relationships"><Relationship Id="rId4" Type="http://schemas.microsoft.com/office/2011/relationships/chartColorStyle" Target="colors42.xml"/><Relationship Id="rId3" Type="http://schemas.microsoft.com/office/2011/relationships/chartStyle" Target="style42.xml"/><Relationship Id="rId2" Type="http://schemas.openxmlformats.org/officeDocument/2006/relationships/themeOverride" Target="../theme/themeOverride26.xml"/><Relationship Id="rId1" Type="http://schemas.openxmlformats.org/officeDocument/2006/relationships/package" Target="../embeddings/Workbook60.xlsx"/></Relationships>
</file>

<file path=word/charts/_rels/chart61.xml.rels><?xml version="1.0" encoding="UTF-8" standalone="yes"?>
<Relationships xmlns="http://schemas.openxmlformats.org/package/2006/relationships"><Relationship Id="rId2" Type="http://schemas.openxmlformats.org/officeDocument/2006/relationships/themeOverride" Target="../theme/themeOverride27.xml"/><Relationship Id="rId1" Type="http://schemas.openxmlformats.org/officeDocument/2006/relationships/package" Target="../embeddings/Workbook61.xlsx"/></Relationships>
</file>

<file path=word/charts/_rels/chart62.xml.rels><?xml version="1.0" encoding="UTF-8" standalone="yes"?>
<Relationships xmlns="http://schemas.openxmlformats.org/package/2006/relationships"><Relationship Id="rId2" Type="http://schemas.openxmlformats.org/officeDocument/2006/relationships/themeOverride" Target="../theme/themeOverride28.xml"/><Relationship Id="rId1" Type="http://schemas.openxmlformats.org/officeDocument/2006/relationships/package" Target="../embeddings/Workbook62.xlsx"/></Relationships>
</file>

<file path=word/charts/_rels/chart63.xml.rels><?xml version="1.0" encoding="UTF-8" standalone="yes"?>
<Relationships xmlns="http://schemas.openxmlformats.org/package/2006/relationships"><Relationship Id="rId2" Type="http://schemas.openxmlformats.org/officeDocument/2006/relationships/themeOverride" Target="../theme/themeOverride29.xml"/><Relationship Id="rId1" Type="http://schemas.openxmlformats.org/officeDocument/2006/relationships/package" Target="../embeddings/Workbook63.xlsx"/></Relationships>
</file>

<file path=word/charts/_rels/chart64.xml.rels><?xml version="1.0" encoding="UTF-8" standalone="yes"?>
<Relationships xmlns="http://schemas.openxmlformats.org/package/2006/relationships"><Relationship Id="rId2" Type="http://schemas.openxmlformats.org/officeDocument/2006/relationships/themeOverride" Target="../theme/themeOverride30.xml"/><Relationship Id="rId1" Type="http://schemas.openxmlformats.org/officeDocument/2006/relationships/package" Target="../embeddings/Workbook64.xlsx"/></Relationships>
</file>

<file path=word/charts/_rels/chart65.xml.rels><?xml version="1.0" encoding="UTF-8" standalone="yes"?>
<Relationships xmlns="http://schemas.openxmlformats.org/package/2006/relationships"><Relationship Id="rId2" Type="http://schemas.openxmlformats.org/officeDocument/2006/relationships/themeOverride" Target="../theme/themeOverride31.xml"/><Relationship Id="rId1" Type="http://schemas.openxmlformats.org/officeDocument/2006/relationships/package" Target="../embeddings/Workbook65.xlsx"/></Relationships>
</file>

<file path=word/charts/_rels/chart66.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package" Target="../embeddings/Workbook66.xlsx"/></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2895656254889"/>
          <c:y val="0.112227803421124"/>
          <c:w val="0.907281118005945"/>
          <c:h val="0.761870757534619"/>
        </c:manualLayout>
      </c:layout>
      <c:bubbleChart>
        <c:varyColors val="0"/>
        <c:ser>
          <c:idx val="0"/>
          <c:order val="0"/>
          <c:tx>
            <c:strRef>
              <c:f>Sheet1!$B$1</c:f>
              <c:strCache>
                <c:ptCount val="1"/>
                <c:pt idx="0">
                  <c:v>Y 值</c:v>
                </c:pt>
              </c:strCache>
            </c:strRef>
          </c:tx>
          <c:spPr>
            <a:solidFill>
              <a:schemeClr val="accent1">
                <a:alpha val="75000"/>
              </a:schemeClr>
            </a:solidFill>
            <a:ln>
              <a:noFill/>
            </a:ln>
            <a:effectLst/>
          </c:spPr>
          <c:invertIfNegative val="0"/>
          <c:dPt>
            <c:idx val="0"/>
            <c:bubble3D val="0"/>
            <c:spPr>
              <a:solidFill>
                <a:srgbClr val="92D050"/>
              </a:solidFill>
              <a:ln>
                <a:noFill/>
              </a:ln>
              <a:effectLst/>
            </c:spPr>
          </c:dPt>
          <c:dPt>
            <c:idx val="1"/>
            <c:bubble3D val="0"/>
            <c:spPr>
              <a:solidFill>
                <a:schemeClr val="accent2"/>
              </a:solidFill>
              <a:ln>
                <a:noFill/>
              </a:ln>
              <a:effectLst/>
            </c:spPr>
          </c:dPt>
          <c:dPt>
            <c:idx val="2"/>
            <c:bubble3D val="0"/>
            <c:spPr>
              <a:solidFill>
                <a:schemeClr val="accent3">
                  <a:lumMod val="60000"/>
                  <a:lumOff val="40000"/>
                </a:schemeClr>
              </a:solidFill>
              <a:ln>
                <a:noFill/>
              </a:ln>
              <a:effectLst/>
            </c:spPr>
          </c:dPt>
          <c:dPt>
            <c:idx val="3"/>
            <c:bubble3D val="0"/>
            <c:spPr>
              <a:solidFill>
                <a:schemeClr val="accent6"/>
              </a:solidFill>
              <a:ln>
                <a:noFill/>
              </a:ln>
              <a:effectLst/>
            </c:spPr>
          </c:dPt>
          <c:dPt>
            <c:idx val="4"/>
            <c:bubble3D val="0"/>
            <c:spPr>
              <a:solidFill>
                <a:schemeClr val="accent4"/>
              </a:solidFill>
              <a:ln>
                <a:noFill/>
              </a:ln>
              <a:effectLst/>
            </c:spPr>
          </c:dPt>
          <c:dPt>
            <c:idx val="5"/>
            <c:bubble3D val="0"/>
            <c:spPr>
              <a:solidFill>
                <a:schemeClr val="accent3"/>
              </a:solidFill>
              <a:ln>
                <a:noFill/>
              </a:ln>
              <a:effectLst/>
            </c:spPr>
          </c:dPt>
          <c:dLbls>
            <c:dLbl>
              <c:idx val="0"/>
              <c:layout>
                <c:manualLayout>
                  <c:x val="-0.127962705347938"/>
                  <c:y val="-0.17703525205901"/>
                </c:manualLayout>
              </c:layout>
              <c:tx>
                <c:rich>
                  <a:bodyPr rot="0" spcFirstLastPara="1" vertOverflow="ellipsis" vert="horz" wrap="square" lIns="38100" tIns="19050" rIns="38100" bIns="19050" anchor="ctr" anchorCtr="1">
                    <a:noAutofit/>
                  </a:bodyPr>
                  <a:lstStyle/>
                  <a:p>
                    <a:fld id="{5b5ed3de-b5ff-4145-aca5-7dd48966241b}" type="CELLRANGE">
                      <a:t>[CELLRANGE]</a:t>
                    </a:fld>
                    <a:r>
                      <a:t>,</a:t>
                    </a:r>
                    <a:fld id="{ea51b818-2a6d-4c53-b94a-0b3c9f3cfbff}" type="VALUE">
                      <a:t>[VALUE]</a:t>
                    </a:fld>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32571975385189"/>
                  <c:y val="0.131761329833771"/>
                </c:manualLayout>
              </c:layout>
              <c:tx>
                <c:rich>
                  <a:bodyPr rot="0" spcFirstLastPara="1" vertOverflow="ellipsis" vert="horz" wrap="square" lIns="38100" tIns="19050" rIns="38100" bIns="19050" anchor="ctr" anchorCtr="1">
                    <a:noAutofit/>
                  </a:bodyPr>
                  <a:lstStyle/>
                  <a:p>
                    <a:fld id="{fc6a00c1-77e6-4873-a36e-07e1e005fb9c}" type="CELLRANGE">
                      <a:t>[CELLRANGE]</a:t>
                    </a:fld>
                    <a:r>
                      <a:t>,</a:t>
                    </a:r>
                    <a:fld id="{9e646850-ade4-4f5e-acc1-27adbd4f60c7}" type="VALUE">
                      <a:t>[VALUE]</a:t>
                    </a:fld>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tx>
                <c:rich>
                  <a:bodyPr rot="0" spcFirstLastPara="1" vertOverflow="ellipsis" vert="horz" wrap="square" lIns="38100" tIns="19050" rIns="38100" bIns="19050" anchor="ctr" anchorCtr="1">
                    <a:noAutofit/>
                  </a:bodyPr>
                  <a:lstStyle/>
                  <a:p>
                    <a:fld id="{d31dc95d-dbf7-4101-9658-8aacf38a46c4}" type="CELLRANGE">
                      <a:t>[CELLRANGE]</a:t>
                    </a:fld>
                    <a:r>
                      <a:t>,</a:t>
                    </a:r>
                    <a:fld id="{e2517388-23ce-45cd-b714-57d7ca68b539}" type="VALUE">
                      <a:t>[VALUE]</a:t>
                    </a:fld>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0.120150240664614"/>
                  <c:y val="0.151951939340916"/>
                </c:manualLayout>
              </c:layout>
              <c:tx>
                <c:rich>
                  <a:bodyPr rot="0" spcFirstLastPara="1" vertOverflow="ellipsis" vert="horz" wrap="square" lIns="38100" tIns="19050" rIns="38100" bIns="19050" anchor="ctr" anchorCtr="1">
                    <a:noAutofit/>
                  </a:bodyPr>
                  <a:lstStyle/>
                  <a:p>
                    <a:fld id="{68927fcc-3127-4d8e-9e96-138b720d2662}" type="CELLRANGE">
                      <a:t>[CELLRANGE]</a:t>
                    </a:fld>
                    <a:r>
                      <a:t>,</a:t>
                    </a:r>
                    <a:fld id="{a6f0335f-2160-453c-9621-5611f7215d94}" type="VALUE">
                      <a:t>[VALUE]</a:t>
                    </a:fld>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135347055218462"/>
                  <c:y val="-0.15635905511811"/>
                </c:manualLayout>
              </c:layout>
              <c:tx>
                <c:rich>
                  <a:bodyPr rot="0" spcFirstLastPara="1" vertOverflow="ellipsis" vert="horz" wrap="square" lIns="38100" tIns="19050" rIns="38100" bIns="19050" anchor="ctr" anchorCtr="1">
                    <a:noAutofit/>
                  </a:bodyPr>
                  <a:lstStyle/>
                  <a:p>
                    <a:fld id="{8bda9e00-7ecb-4d10-8345-5d7286e27c75}" type="CELLRANGE">
                      <a:t>[CELLRANGE]</a:t>
                    </a:fld>
                    <a:r>
                      <a:t>,</a:t>
                    </a:r>
                    <a:fld id="{d9a1d975-7be7-4b29-a397-fe1d54dd5d66}" type="VALUE">
                      <a:t>[VALUE]</a:t>
                    </a:fld>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037937918206287"/>
                  <c:y val="0.128477340332459"/>
                </c:manualLayout>
              </c:layout>
              <c:tx>
                <c:rich>
                  <a:bodyPr rot="0" spcFirstLastPara="1" vertOverflow="ellipsis" vert="horz" wrap="square" lIns="38100" tIns="19050" rIns="38100" bIns="19050" anchor="ctr" anchorCtr="1">
                    <a:noAutofit/>
                  </a:bodyPr>
                  <a:lstStyle/>
                  <a:p>
                    <a:fld id="{07f74007-22a6-48b4-943e-e3f0e7eaa129}" type="CELLRANGE">
                      <a:t>[CELLRANGE]</a:t>
                    </a:fld>
                    <a:r>
                      <a:t>,</a:t>
                    </a:r>
                    <a:fld id="{c3836689-a192-4247-8d40-df99e9de70d0}" type="VALUE">
                      <a:t>[VALUE]</a:t>
                    </a:fld>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0"/>
                <c15:leaderLines/>
              </c:ext>
            </c:extLst>
          </c:dLbls>
          <c:xVal>
            <c:numRef>
              <c:f>Sheet1!$B$2:$B$7</c:f>
              <c:numCache>
                <c:formatCode>0.00_);[Red]\(0.00\)</c:formatCode>
                <c:ptCount val="6"/>
                <c:pt idx="0">
                  <c:v>1</c:v>
                </c:pt>
                <c:pt idx="1">
                  <c:v>2</c:v>
                </c:pt>
                <c:pt idx="2">
                  <c:v>3</c:v>
                </c:pt>
                <c:pt idx="3">
                  <c:v>4</c:v>
                </c:pt>
                <c:pt idx="4">
                  <c:v>5</c:v>
                </c:pt>
                <c:pt idx="5">
                  <c:v>6</c:v>
                </c:pt>
              </c:numCache>
            </c:numRef>
          </c:xVal>
          <c:yVal>
            <c:numRef>
              <c:f>Sheet1!$C$2:$C$7</c:f>
              <c:numCache>
                <c:formatCode>0.00_);[Red]\(0.00\)</c:formatCode>
                <c:ptCount val="6"/>
                <c:pt idx="0">
                  <c:v>0.980972515856237</c:v>
                </c:pt>
                <c:pt idx="1">
                  <c:v>0.926598409397029</c:v>
                </c:pt>
                <c:pt idx="2">
                  <c:v>0.968176580418354</c:v>
                </c:pt>
                <c:pt idx="3">
                  <c:v>0.947854737876418</c:v>
                </c:pt>
                <c:pt idx="4">
                  <c:v>0.96258391593524</c:v>
                </c:pt>
                <c:pt idx="5">
                  <c:v>0.934236252650671</c:v>
                </c:pt>
              </c:numCache>
            </c:numRef>
          </c:yVal>
          <c:bubbleSize>
            <c:numRef>
              <c:f>Sheet1!$C$2:$C$7</c:f>
              <c:numCache>
                <c:formatCode>0.00%</c:formatCode>
                <c:ptCount val="6"/>
                <c:pt idx="0">
                  <c:v>0.980972515856237</c:v>
                </c:pt>
                <c:pt idx="1">
                  <c:v>0.926598409397029</c:v>
                </c:pt>
                <c:pt idx="2">
                  <c:v>0.968176580418354</c:v>
                </c:pt>
                <c:pt idx="3">
                  <c:v>0.947854737876418</c:v>
                </c:pt>
                <c:pt idx="4">
                  <c:v>0.96258391593524</c:v>
                </c:pt>
                <c:pt idx="5">
                  <c:v>0.934236252650671</c:v>
                </c:pt>
              </c:numCache>
            </c:numRef>
          </c:bubbleSize>
          <c:bubble3D val="0"/>
          <c:extLst>
            <c:ext xmlns:c15="http://schemas.microsoft.com/office/drawing/2012/chart" uri="{02D57815-91ED-43cb-92C2-25804820EDAC}">
              <c15:datalabelsRange>
                <c15:f>Sheet1!$D$2:$D$7</c15:f>
                <c15:dlblRangeCache>
                  <c:ptCount val="6"/>
                  <c:pt idx="0">
                    <c:v>母校满意度</c:v>
                  </c:pt>
                  <c:pt idx="1">
                    <c:v>课程评价</c:v>
                  </c:pt>
                  <c:pt idx="2">
                    <c:v>任课教师</c:v>
                  </c:pt>
                  <c:pt idx="3">
                    <c:v>学风建设</c:v>
                  </c:pt>
                  <c:pt idx="4">
                    <c:v>课堂教学</c:v>
                  </c:pt>
                  <c:pt idx="5">
                    <c:v>实践教学</c:v>
                  </c:pt>
                </c15:dlblRangeCache>
              </c15:datalabelsRange>
            </c:ext>
          </c:extLst>
        </c:ser>
        <c:ser>
          <c:idx val="1"/>
          <c:order val="1"/>
          <c:tx>
            <c:strRef>
              <c:f>Sheet1!$D$1</c:f>
              <c:strCache>
                <c:ptCount val="1"/>
                <c:pt idx="0">
                  <c:v>列1</c:v>
                </c:pt>
              </c:strCache>
            </c:strRef>
          </c:tx>
          <c:spPr>
            <a:solidFill>
              <a:schemeClr val="accent2">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xVal>
            <c:numRef>
              <c:f>Sheet1!$A$2:$A$7</c:f>
              <c:numCache>
                <c:formatCode>0.00_);[Red]\(0.00\)</c:formatCode>
                <c:ptCount val="6"/>
                <c:pt idx="0">
                  <c:v>1</c:v>
                </c:pt>
                <c:pt idx="1">
                  <c:v>2</c:v>
                </c:pt>
                <c:pt idx="2">
                  <c:v>3</c:v>
                </c:pt>
                <c:pt idx="3">
                  <c:v>4</c:v>
                </c:pt>
                <c:pt idx="4">
                  <c:v>5</c:v>
                </c:pt>
                <c:pt idx="5">
                  <c:v>6</c:v>
                </c:pt>
              </c:numCache>
            </c:numRef>
          </c:xVal>
          <c:yVal>
            <c:numRef>
              <c:f>Sheet1!$D$2:$D$7</c:f>
              <c:numCache>
                <c:formatCode>General</c:formatCode>
                <c:ptCount val="6"/>
                <c:pt idx="0">
                  <c:v>0</c:v>
                </c:pt>
                <c:pt idx="1">
                  <c:v>0</c:v>
                </c:pt>
                <c:pt idx="2">
                  <c:v>0</c:v>
                </c:pt>
                <c:pt idx="3">
                  <c:v>0</c:v>
                </c:pt>
                <c:pt idx="4">
                  <c:v>0</c:v>
                </c:pt>
                <c:pt idx="5">
                  <c:v>0</c:v>
                </c:pt>
              </c:numCache>
            </c:numRef>
          </c:yVal>
          <c:bubbleSize>
            <c:numRef>
              <c:f>{1,1,1,1,1,1}</c:f>
              <c:numCache>
                <c:formatCode>General</c:formatCode>
                <c:ptCount val="6"/>
                <c:pt idx="0">
                  <c:v>1</c:v>
                </c:pt>
                <c:pt idx="1">
                  <c:v>1</c:v>
                </c:pt>
                <c:pt idx="2">
                  <c:v>1</c:v>
                </c:pt>
                <c:pt idx="3">
                  <c:v>1</c:v>
                </c:pt>
                <c:pt idx="4">
                  <c:v>1</c:v>
                </c:pt>
                <c:pt idx="5">
                  <c:v>1</c:v>
                </c:pt>
              </c:numCache>
            </c:numRef>
          </c:bubbleSize>
          <c:bubble3D val="0"/>
        </c:ser>
        <c:dLbls>
          <c:showLegendKey val="0"/>
          <c:showVal val="1"/>
          <c:showCatName val="0"/>
          <c:showSerName val="0"/>
          <c:showPercent val="0"/>
          <c:showBubbleSize val="0"/>
        </c:dLbls>
        <c:bubbleScale val="90"/>
        <c:showNegBubbles val="0"/>
        <c:sizeRepresents val="area"/>
        <c:axId val="526088832"/>
        <c:axId val="526089392"/>
      </c:bubbleChart>
      <c:valAx>
        <c:axId val="526088832"/>
        <c:scaling>
          <c:orientation val="minMax"/>
        </c:scaling>
        <c:delete val="1"/>
        <c:axPos val="b"/>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26089392"/>
        <c:crosses val="autoZero"/>
        <c:crossBetween val="midCat"/>
      </c:valAx>
      <c:valAx>
        <c:axId val="526089392"/>
        <c:scaling>
          <c:orientation val="minMax"/>
          <c:min val="0.7"/>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6088832"/>
        <c:crosses val="autoZero"/>
        <c:crossBetween val="midCat"/>
        <c:majorUnit val="0.05"/>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98729506638"/>
          <c:y val="0.0624997569748226"/>
          <c:w val="0.547826391266309"/>
          <c:h val="0.875000486050355"/>
        </c:manualLayout>
      </c:layout>
      <c:doughnutChart>
        <c:varyColors val="1"/>
        <c:ser>
          <c:idx val="0"/>
          <c:order val="0"/>
          <c:tx>
            <c:strRef>
              <c:f>Sheet1!$B$1</c:f>
              <c:strCache>
                <c:ptCount val="1"/>
                <c:pt idx="0">
                  <c:v>占比</c:v>
                </c:pt>
              </c:strCache>
            </c:strRef>
          </c:tx>
          <c:spPr>
            <a:ln w="19050">
              <a:noFill/>
            </a:ln>
          </c:spPr>
          <c:explosion val="0"/>
          <c:dPt>
            <c:idx val="0"/>
            <c:bubble3D val="0"/>
            <c:spPr>
              <a:solidFill>
                <a:schemeClr val="accent1"/>
              </a:solidFill>
              <a:ln w="19050">
                <a:solidFill>
                  <a:schemeClr val="accent1"/>
                </a:solidFill>
              </a:ln>
              <a:effectLst/>
            </c:spPr>
          </c:dPt>
          <c:dPt>
            <c:idx val="1"/>
            <c:bubble3D val="0"/>
            <c:spPr>
              <a:solidFill>
                <a:srgbClr val="10CF9B"/>
              </a:solidFill>
              <a:ln w="19050">
                <a:noFill/>
              </a:ln>
              <a:effectLst/>
            </c:spPr>
          </c:dPt>
          <c:dPt>
            <c:idx val="2"/>
            <c:bubble3D val="0"/>
            <c:spPr>
              <a:solidFill>
                <a:schemeClr val="accent3"/>
              </a:solidFill>
              <a:ln w="19050">
                <a:noFill/>
              </a:ln>
              <a:effectLst/>
            </c:spPr>
          </c:dPt>
          <c:dLbls>
            <c:delete val="1"/>
          </c:dLbls>
          <c:cat>
            <c:strRef>
              <c:f>Sheet1!$A$2:$A$4</c:f>
              <c:strCache>
                <c:ptCount val="3"/>
                <c:pt idx="0">
                  <c:v>中部地区</c:v>
                </c:pt>
                <c:pt idx="1">
                  <c:v>西部地区</c:v>
                </c:pt>
                <c:pt idx="2">
                  <c:v>其他地区</c:v>
                </c:pt>
              </c:strCache>
            </c:strRef>
          </c:cat>
          <c:val>
            <c:numRef>
              <c:f>Sheet1!$B$2:$B$4</c:f>
              <c:numCache>
                <c:formatCode>0.00%</c:formatCode>
                <c:ptCount val="3"/>
                <c:pt idx="0">
                  <c:v>0.639484978540772</c:v>
                </c:pt>
                <c:pt idx="1">
                  <c:v>0.133353770692826</c:v>
                </c:pt>
                <c:pt idx="2">
                  <c:v>0.2271612507664</c:v>
                </c:pt>
              </c:numCache>
            </c:numRef>
          </c:val>
        </c:ser>
        <c:ser>
          <c:idx val="1"/>
          <c:order val="1"/>
          <c:tx>
            <c:strRef>
              <c:f>Sheet1!$C$1</c:f>
              <c:strCache>
                <c:ptCount val="1"/>
                <c:pt idx="0">
                  <c:v>占比1</c:v>
                </c:pt>
              </c:strCache>
            </c:strRef>
          </c:tx>
          <c:spPr>
            <a:ln w="19050">
              <a:noFill/>
            </a:ln>
          </c:spPr>
          <c:explosion val="0"/>
          <c:dPt>
            <c:idx val="0"/>
            <c:bubble3D val="0"/>
            <c:spPr>
              <a:solidFill>
                <a:schemeClr val="accent1"/>
              </a:solidFill>
              <a:ln w="19050">
                <a:noFill/>
              </a:ln>
              <a:effectLst/>
            </c:spPr>
          </c:dPt>
          <c:dPt>
            <c:idx val="1"/>
            <c:bubble3D val="0"/>
            <c:spPr>
              <a:noFill/>
              <a:ln w="19050">
                <a:noFill/>
              </a:ln>
              <a:effectLst/>
            </c:spPr>
          </c:dPt>
          <c:dPt>
            <c:idx val="2"/>
            <c:bubble3D val="0"/>
            <c:spPr>
              <a:solidFill>
                <a:schemeClr val="accent3"/>
              </a:solidFill>
              <a:ln w="19050">
                <a:noFill/>
              </a:ln>
              <a:effectLst/>
            </c:spPr>
          </c:dPt>
          <c:dLbls>
            <c:dLbl>
              <c:idx val="0"/>
              <c:layout>
                <c:manualLayout>
                  <c:x val="0.149238360589542"/>
                  <c:y val="0.0418096706983791"/>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05214838799356"/>
                  <c:y val="-0.0123105818547558"/>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53686396677051"/>
                  <c:y val="-0.0352858151023289"/>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中部地区</c:v>
                </c:pt>
                <c:pt idx="1">
                  <c:v>西部地区</c:v>
                </c:pt>
                <c:pt idx="2">
                  <c:v>其他地区</c:v>
                </c:pt>
              </c:strCache>
            </c:strRef>
          </c:cat>
          <c:val>
            <c:numRef>
              <c:f>Sheet1!$C$2:$C$4</c:f>
              <c:numCache>
                <c:formatCode>0.00%</c:formatCode>
                <c:ptCount val="3"/>
                <c:pt idx="0">
                  <c:v>0.639484978540772</c:v>
                </c:pt>
                <c:pt idx="1">
                  <c:v>0.133353770692826</c:v>
                </c:pt>
                <c:pt idx="2">
                  <c:v>0.2271612507664</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98729506638"/>
          <c:y val="0.0624997569748226"/>
          <c:w val="0.547826391266309"/>
          <c:h val="0.875000486050355"/>
        </c:manualLayout>
      </c:layout>
      <c:doughnutChart>
        <c:varyColors val="1"/>
        <c:ser>
          <c:idx val="0"/>
          <c:order val="0"/>
          <c:tx>
            <c:strRef>
              <c:f>Sheet1!$B$1</c:f>
              <c:strCache>
                <c:ptCount val="1"/>
                <c:pt idx="0">
                  <c:v>占比</c:v>
                </c:pt>
              </c:strCache>
            </c:strRef>
          </c:tx>
          <c:spPr>
            <a:ln w="19050">
              <a:noFill/>
            </a:ln>
          </c:spPr>
          <c:explosion val="0"/>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dLbls>
            <c:delete val="1"/>
          </c:dLbls>
          <c:cat>
            <c:strRef>
              <c:f>Sheet1!$A$2:$A$3</c:f>
              <c:strCache>
                <c:ptCount val="2"/>
                <c:pt idx="0">
                  <c:v>省内就业</c:v>
                </c:pt>
                <c:pt idx="1">
                  <c:v>省外就业</c:v>
                </c:pt>
              </c:strCache>
            </c:strRef>
          </c:cat>
          <c:val>
            <c:numRef>
              <c:f>Sheet1!$B$2:$B$3</c:f>
              <c:numCache>
                <c:formatCode>0.00%</c:formatCode>
                <c:ptCount val="2"/>
                <c:pt idx="0">
                  <c:v>0.790849673202614</c:v>
                </c:pt>
                <c:pt idx="1">
                  <c:v>0.209150326797386</c:v>
                </c:pt>
              </c:numCache>
            </c:numRef>
          </c:val>
        </c:ser>
        <c:ser>
          <c:idx val="1"/>
          <c:order val="1"/>
          <c:tx>
            <c:strRef>
              <c:f>Sheet1!$C$1</c:f>
              <c:strCache>
                <c:ptCount val="1"/>
                <c:pt idx="0">
                  <c:v>占比1</c:v>
                </c:pt>
              </c:strCache>
            </c:strRef>
          </c:tx>
          <c:spPr>
            <a:ln w="19050">
              <a:noFill/>
            </a:ln>
          </c:spPr>
          <c:explosion val="0"/>
          <c:dPt>
            <c:idx val="0"/>
            <c:bubble3D val="0"/>
            <c:spPr>
              <a:solidFill>
                <a:schemeClr val="accent1"/>
              </a:solidFill>
              <a:ln w="19050">
                <a:noFill/>
              </a:ln>
              <a:effectLst/>
            </c:spPr>
          </c:dPt>
          <c:dPt>
            <c:idx val="1"/>
            <c:bubble3D val="0"/>
            <c:spPr>
              <a:noFill/>
              <a:ln w="19050">
                <a:noFill/>
              </a:ln>
              <a:effectLst/>
            </c:spPr>
          </c:dPt>
          <c:dLbls>
            <c:dLbl>
              <c:idx val="0"/>
              <c:layout>
                <c:manualLayout>
                  <c:x val="0.149238360589542"/>
                  <c:y val="0.0418096706983791"/>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27536231884058"/>
                  <c:y val="-0.111111111111111"/>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Sheet1!$C$2:$C$3</c:f>
              <c:numCache>
                <c:formatCode>0.00%</c:formatCode>
                <c:ptCount val="2"/>
                <c:pt idx="0">
                  <c:v>0.790849673202614</c:v>
                </c:pt>
                <c:pt idx="1">
                  <c:v>0.209150326797386</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179181870559"/>
          <c:y val="0.0686724409448819"/>
          <c:w val="0.55942059416486"/>
          <c:h val="0.893519004568873"/>
        </c:manualLayout>
      </c:layout>
      <c:doughnutChart>
        <c:varyColors val="1"/>
        <c:ser>
          <c:idx val="0"/>
          <c:order val="0"/>
          <c:tx>
            <c:strRef>
              <c:f>Sheet1!$B$1</c:f>
              <c:strCache>
                <c:ptCount val="1"/>
                <c:pt idx="0">
                  <c:v>占比</c:v>
                </c:pt>
              </c:strCache>
            </c:strRef>
          </c:tx>
          <c:spPr>
            <a:ln w="19050">
              <a:noFill/>
            </a:ln>
          </c:spPr>
          <c:explosion val="0"/>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dPt>
            <c:idx val="2"/>
            <c:bubble3D val="0"/>
            <c:spPr>
              <a:solidFill>
                <a:schemeClr val="accent3"/>
              </a:solidFill>
              <a:ln w="19050">
                <a:noFill/>
              </a:ln>
              <a:effectLst/>
            </c:spPr>
          </c:dPt>
          <c:dLbls>
            <c:delete val="1"/>
          </c:dLbls>
          <c:cat>
            <c:strRef>
              <c:f>Sheet1!$A$2:$A$4</c:f>
              <c:strCache>
                <c:ptCount val="3"/>
                <c:pt idx="0">
                  <c:v>其他省份就业</c:v>
                </c:pt>
                <c:pt idx="1">
                  <c:v>回生源地就业</c:v>
                </c:pt>
                <c:pt idx="2">
                  <c:v>省内就业</c:v>
                </c:pt>
              </c:strCache>
            </c:strRef>
          </c:cat>
          <c:val>
            <c:numRef>
              <c:f>Sheet1!$B$2:$B$4</c:f>
              <c:numCache>
                <c:formatCode>0.00%</c:formatCode>
                <c:ptCount val="3"/>
                <c:pt idx="0">
                  <c:v>0.247446975648075</c:v>
                </c:pt>
                <c:pt idx="1">
                  <c:v>0.518460329929301</c:v>
                </c:pt>
                <c:pt idx="2">
                  <c:v>0.234092694422624</c:v>
                </c:pt>
              </c:numCache>
            </c:numRef>
          </c:val>
        </c:ser>
        <c:ser>
          <c:idx val="1"/>
          <c:order val="1"/>
          <c:tx>
            <c:strRef>
              <c:f>Sheet1!$C$1</c:f>
              <c:strCache>
                <c:ptCount val="1"/>
                <c:pt idx="0">
                  <c:v>占比1</c:v>
                </c:pt>
              </c:strCache>
            </c:strRef>
          </c:tx>
          <c:spPr>
            <a:ln w="19050">
              <a:noFill/>
            </a:ln>
          </c:spPr>
          <c:explosion val="0"/>
          <c:dPt>
            <c:idx val="0"/>
            <c:bubble3D val="0"/>
            <c:spPr>
              <a:solidFill>
                <a:schemeClr val="accent1"/>
              </a:solidFill>
              <a:ln w="19050">
                <a:noFill/>
              </a:ln>
              <a:effectLst/>
            </c:spPr>
          </c:dPt>
          <c:dPt>
            <c:idx val="1"/>
            <c:bubble3D val="0"/>
            <c:spPr>
              <a:solidFill>
                <a:schemeClr val="accent2"/>
              </a:solidFill>
              <a:ln w="19050">
                <a:solidFill>
                  <a:schemeClr val="accent2"/>
                </a:solidFill>
              </a:ln>
              <a:effectLst/>
            </c:spPr>
          </c:dPt>
          <c:dPt>
            <c:idx val="2"/>
            <c:bubble3D val="0"/>
            <c:spPr>
              <a:noFill/>
              <a:ln w="19050">
                <a:noFill/>
              </a:ln>
              <a:effectLst/>
            </c:spPr>
          </c:dPt>
          <c:dLbls>
            <c:dLbl>
              <c:idx val="0"/>
              <c:layout>
                <c:manualLayout>
                  <c:x val="0.112834543768194"/>
                  <c:y val="-0.298190130079894"/>
                </c:manualLayout>
              </c:layout>
              <c:tx>
                <c:rich>
                  <a:bodyPr rot="0" spcFirstLastPara="1" vertOverflow="ellipsis" vert="horz" wrap="square" lIns="38100" tIns="19050" rIns="38100" bIns="19050" anchor="ctr" anchorCtr="1"/>
                  <a:lstStyle/>
                  <a:p>
                    <a:fld id="{22d69205-8475-499a-94d6-0beb96ad61ec}" type="CATEGORYNAME">
                      <a:t>[CATEGORY NAME]</a:t>
                    </a:fld>
                    <a:r>
                      <a:t>,</a:t>
                    </a:r>
                    <a:fld id="{4b21654a-aef6-4b86-8222-4488ea8d5192}" type="VALUE">
                      <a:t>[VALUE]</a:t>
                    </a:fld>
                  </a:p>
                </c:rich>
              </c:tx>
              <c:showLegendKey val="0"/>
              <c:showVal val="1"/>
              <c:showCatName val="1"/>
              <c:showSerName val="0"/>
              <c:showPercent val="0"/>
              <c:showBubbleSize val="0"/>
              <c:extLst>
                <c:ext xmlns:c15="http://schemas.microsoft.com/office/drawing/2012/chart" uri="{CE6537A1-D6FC-4f65-9D91-7224C49458BB}">
                  <c15:layout>
                    <c:manualLayout>
                      <c:w val="0.256713393007938"/>
                      <c:h val="0.266488694260811"/>
                    </c:manualLayout>
                  </c15:layout>
                </c:ext>
              </c:extLst>
            </c:dLbl>
            <c:dLbl>
              <c:idx val="1"/>
              <c:layout>
                <c:manualLayout>
                  <c:x val="-0.293106213437558"/>
                  <c:y val="-0.024683144553455"/>
                </c:manualLayout>
              </c:layout>
              <c:showLegendKey val="0"/>
              <c:showVal val="1"/>
              <c:showCatName val="1"/>
              <c:showSerName val="0"/>
              <c:showPercent val="0"/>
              <c:showBubbleSize val="0"/>
              <c:extLst>
                <c:ext xmlns:c15="http://schemas.microsoft.com/office/drawing/2012/chart" uri="{CE6537A1-D6FC-4f65-9D91-7224C49458BB}">
                  <c15:layout>
                    <c:manualLayout>
                      <c:w val="0.326640740029447"/>
                      <c:h val="0.242962729658793"/>
                    </c:manualLayout>
                  </c15:layout>
                </c:ext>
              </c:extLst>
            </c:dLbl>
            <c:dLbl>
              <c:idx val="2"/>
              <c:layout>
                <c:manualLayout>
                  <c:x val="-0.0695652588880935"/>
                  <c:y val="-0.181199273167777"/>
                </c:manualLayout>
              </c:layout>
              <c:tx>
                <c:rich>
                  <a:bodyPr rot="0" spcFirstLastPara="1" vertOverflow="ellipsis" vert="horz" wrap="square" lIns="38100" tIns="19050" rIns="38100" bIns="19050" anchor="ctr" anchorCtr="1"/>
                  <a:lstStyle/>
                  <a:p>
                    <a:fld id="{0307add4-72a5-4d5c-a8f0-ee61d91245f3}" type="CATEGORYNAME">
                      <a:t>[CATEGORY NAME]</a:t>
                    </a:fld>
                    <a:r>
                      <a:t>,</a:t>
                    </a:r>
                    <a:fld id="{559c2605-b609-476c-b4c0-348a0bb1d499}" type="VALUE">
                      <a:t>[VALUE]</a:t>
                    </a:fld>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其他省份就业</c:v>
                </c:pt>
                <c:pt idx="1">
                  <c:v>回生源地就业</c:v>
                </c:pt>
                <c:pt idx="2">
                  <c:v>省内就业</c:v>
                </c:pt>
              </c:strCache>
            </c:strRef>
          </c:cat>
          <c:val>
            <c:numRef>
              <c:f>Sheet1!$C$2:$C$4</c:f>
              <c:numCache>
                <c:formatCode>0.00%</c:formatCode>
                <c:ptCount val="3"/>
                <c:pt idx="0">
                  <c:v>0.247446975648075</c:v>
                </c:pt>
                <c:pt idx="1">
                  <c:v>0.518460329929301</c:v>
                </c:pt>
                <c:pt idx="2">
                  <c:v>0.234092694422624</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98729506638"/>
          <c:y val="0.0624997569748226"/>
          <c:w val="0.547826391266309"/>
          <c:h val="0.875000486050355"/>
        </c:manualLayout>
      </c:layout>
      <c:doughnutChart>
        <c:varyColors val="1"/>
        <c:ser>
          <c:idx val="0"/>
          <c:order val="0"/>
          <c:tx>
            <c:strRef>
              <c:f>Sheet1!$B$1</c:f>
              <c:strCache>
                <c:ptCount val="1"/>
                <c:pt idx="0">
                  <c:v>占比</c:v>
                </c:pt>
              </c:strCache>
            </c:strRef>
          </c:tx>
          <c:spPr>
            <a:ln w="19050">
              <a:noFill/>
            </a:ln>
          </c:spPr>
          <c:explosion val="0"/>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dLbls>
            <c:delete val="1"/>
          </c:dLbls>
          <c:cat>
            <c:strRef>
              <c:f>Sheet1!$A$2:$A$3</c:f>
              <c:strCache>
                <c:ptCount val="2"/>
                <c:pt idx="0">
                  <c:v>荆门市内就业</c:v>
                </c:pt>
                <c:pt idx="1">
                  <c:v>荆门市外就业</c:v>
                </c:pt>
              </c:strCache>
            </c:strRef>
          </c:cat>
          <c:val>
            <c:numRef>
              <c:f>Sheet1!$B$2:$B$3</c:f>
              <c:numCache>
                <c:formatCode>0.00%</c:formatCode>
                <c:ptCount val="2"/>
                <c:pt idx="0">
                  <c:v>0.8511</c:v>
                </c:pt>
                <c:pt idx="1">
                  <c:v>0.1489</c:v>
                </c:pt>
              </c:numCache>
            </c:numRef>
          </c:val>
        </c:ser>
        <c:ser>
          <c:idx val="1"/>
          <c:order val="1"/>
          <c:tx>
            <c:strRef>
              <c:f>Sheet1!$C$1</c:f>
              <c:strCache>
                <c:ptCount val="1"/>
                <c:pt idx="0">
                  <c:v>占比1</c:v>
                </c:pt>
              </c:strCache>
            </c:strRef>
          </c:tx>
          <c:spPr>
            <a:ln w="19050">
              <a:noFill/>
            </a:ln>
          </c:spPr>
          <c:explosion val="0"/>
          <c:dPt>
            <c:idx val="0"/>
            <c:bubble3D val="0"/>
            <c:spPr>
              <a:solidFill>
                <a:schemeClr val="accent1"/>
              </a:solidFill>
              <a:ln w="19050">
                <a:noFill/>
              </a:ln>
              <a:effectLst/>
            </c:spPr>
          </c:dPt>
          <c:dPt>
            <c:idx val="1"/>
            <c:bubble3D val="0"/>
            <c:spPr>
              <a:noFill/>
              <a:ln w="19050">
                <a:noFill/>
              </a:ln>
              <a:effectLst/>
            </c:spPr>
          </c:dPt>
          <c:dLbls>
            <c:dLbl>
              <c:idx val="0"/>
              <c:layout>
                <c:manualLayout>
                  <c:x val="0.207389964104954"/>
                  <c:y val="0.0186225751421157"/>
                </c:manualLayout>
              </c:layout>
              <c:showLegendKey val="0"/>
              <c:showVal val="1"/>
              <c:showCatName val="1"/>
              <c:showSerName val="0"/>
              <c:showPercent val="0"/>
              <c:showBubbleSize val="0"/>
              <c:extLst>
                <c:ext xmlns:c15="http://schemas.microsoft.com/office/drawing/2012/chart" uri="{CE6537A1-D6FC-4f65-9D91-7224C49458BB}">
                  <c15:layout>
                    <c:manualLayout>
                      <c:w val="0.290758047767394"/>
                      <c:h val="0.263761745730972"/>
                    </c:manualLayout>
                  </c15:layout>
                </c:ext>
              </c:extLst>
            </c:dLbl>
            <c:dLbl>
              <c:idx val="1"/>
              <c:layout>
                <c:manualLayout>
                  <c:x val="-0.146751702766126"/>
                  <c:y val="-0.0186220194599881"/>
                </c:manualLayout>
              </c:layout>
              <c:showLegendKey val="0"/>
              <c:showVal val="1"/>
              <c:showCatName val="1"/>
              <c:showSerName val="0"/>
              <c:showPercent val="0"/>
              <c:showBubbleSize val="0"/>
              <c:extLst>
                <c:ext xmlns:c15="http://schemas.microsoft.com/office/drawing/2012/chart" uri="{CE6537A1-D6FC-4f65-9D91-7224C49458BB}">
                  <c15:layout>
                    <c:manualLayout>
                      <c:w val="0.290758047767394"/>
                      <c:h val="0.263761745730972"/>
                    </c:manualLayout>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荆门市内就业</c:v>
                </c:pt>
                <c:pt idx="1">
                  <c:v>荆门市外就业</c:v>
                </c:pt>
              </c:strCache>
            </c:strRef>
          </c:cat>
          <c:val>
            <c:numRef>
              <c:f>Sheet1!$C$2:$C$3</c:f>
              <c:numCache>
                <c:formatCode>0.00%</c:formatCode>
                <c:ptCount val="2"/>
                <c:pt idx="0">
                  <c:v>0.8511</c:v>
                </c:pt>
                <c:pt idx="1">
                  <c:v>0.1489</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364374278454"/>
          <c:y val="0.032520325203252"/>
          <c:w val="0.437227846519185"/>
          <c:h val="0.885968888035337"/>
        </c:manualLayout>
      </c:layout>
      <c:barChart>
        <c:barDir val="bar"/>
        <c:grouping val="clustered"/>
        <c:varyColors val="0"/>
        <c:ser>
          <c:idx val="0"/>
          <c:order val="0"/>
          <c:tx>
            <c:strRef>
              <c:f>Sheet1!$B$1</c:f>
              <c:strCache>
                <c:ptCount val="1"/>
                <c:pt idx="0">
                  <c:v>占比</c:v>
                </c:pt>
              </c:strCache>
            </c:strRef>
          </c:tx>
          <c:spPr>
            <a:solidFill>
              <a:schemeClr val="accent5"/>
            </a:solidFill>
            <a:ln>
              <a:noFill/>
            </a:ln>
            <a:effectLst/>
          </c:spPr>
          <c:invertIfNegative val="0"/>
          <c:dPt>
            <c:idx val="0"/>
            <c:invertIfNegative val="0"/>
            <c:bubble3D val="0"/>
            <c:spPr>
              <a:solidFill>
                <a:schemeClr val="accent5"/>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Sheet1!$A$2:$A$11</c:f>
              <c:strCache>
                <c:ptCount val="10"/>
                <c:pt idx="0">
                  <c:v>科学研究和技术服务业</c:v>
                </c:pt>
                <c:pt idx="1">
                  <c:v>租赁和商务服务业</c:v>
                </c:pt>
                <c:pt idx="2">
                  <c:v>居民服务、修理和其他服务业</c:v>
                </c:pt>
                <c:pt idx="3">
                  <c:v>建筑业</c:v>
                </c:pt>
                <c:pt idx="4">
                  <c:v>文化、体育和娱乐业</c:v>
                </c:pt>
                <c:pt idx="5">
                  <c:v>批发和零售业</c:v>
                </c:pt>
                <c:pt idx="6">
                  <c:v>信息传输、软件和信息技术服务业</c:v>
                </c:pt>
                <c:pt idx="7">
                  <c:v>制造业</c:v>
                </c:pt>
                <c:pt idx="8">
                  <c:v>教育</c:v>
                </c:pt>
                <c:pt idx="9">
                  <c:v>卫生和社会工作</c:v>
                </c:pt>
              </c:strCache>
            </c:strRef>
          </c:cat>
          <c:val>
            <c:numRef>
              <c:f>Sheet1!$B$2:$B$11</c:f>
              <c:numCache>
                <c:formatCode>0.00%</c:formatCode>
                <c:ptCount val="10"/>
                <c:pt idx="0">
                  <c:v>0.0236486486486486</c:v>
                </c:pt>
                <c:pt idx="1">
                  <c:v>0.0242628992628993</c:v>
                </c:pt>
                <c:pt idx="2">
                  <c:v>0.0251842751842752</c:v>
                </c:pt>
                <c:pt idx="3">
                  <c:v>0.0322481572481573</c:v>
                </c:pt>
                <c:pt idx="4">
                  <c:v>0.0479115479115479</c:v>
                </c:pt>
                <c:pt idx="5">
                  <c:v>0.0777027027027027</c:v>
                </c:pt>
                <c:pt idx="6">
                  <c:v>0.0847665847665848</c:v>
                </c:pt>
                <c:pt idx="7">
                  <c:v>0.108722358722359</c:v>
                </c:pt>
                <c:pt idx="8">
                  <c:v>0.18980343980344</c:v>
                </c:pt>
                <c:pt idx="9">
                  <c:v>0.251842751842752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364374278454"/>
          <c:y val="0.032520325203252"/>
          <c:w val="0.437227846519185"/>
          <c:h val="0.885968888035337"/>
        </c:manualLayout>
      </c:layout>
      <c:barChart>
        <c:barDir val="bar"/>
        <c:grouping val="clustered"/>
        <c:varyColors val="0"/>
        <c:ser>
          <c:idx val="0"/>
          <c:order val="0"/>
          <c:tx>
            <c:strRef>
              <c:f>Sheet1!$B$1</c:f>
              <c:strCache>
                <c:ptCount val="1"/>
                <c:pt idx="0">
                  <c:v>占比</c:v>
                </c:pt>
              </c:strCache>
            </c:strRef>
          </c:tx>
          <c:spPr>
            <a:solidFill>
              <a:schemeClr val="accent5"/>
            </a:solidFill>
            <a:ln>
              <a:noFill/>
            </a:ln>
            <a:effectLst/>
          </c:spPr>
          <c:invertIfNegative val="0"/>
          <c:dPt>
            <c:idx val="0"/>
            <c:invertIfNegative val="0"/>
            <c:bubble3D val="0"/>
            <c:spPr>
              <a:solidFill>
                <a:schemeClr val="accent5"/>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Sheet1!$A$2:$A$11</c:f>
              <c:strCache>
                <c:ptCount val="10"/>
                <c:pt idx="0">
                  <c:v>军人</c:v>
                </c:pt>
                <c:pt idx="1">
                  <c:v>生产和运输设备操作人员</c:v>
                </c:pt>
                <c:pt idx="2">
                  <c:v>经济业务人员</c:v>
                </c:pt>
                <c:pt idx="3">
                  <c:v>商业和服务业人员</c:v>
                </c:pt>
                <c:pt idx="4">
                  <c:v>办事人员和有关人员</c:v>
                </c:pt>
                <c:pt idx="5">
                  <c:v>其他专业技术人员</c:v>
                </c:pt>
                <c:pt idx="6">
                  <c:v>工程技术人员</c:v>
                </c:pt>
                <c:pt idx="7">
                  <c:v>教学人员</c:v>
                </c:pt>
                <c:pt idx="8">
                  <c:v>卫生专业技术人员</c:v>
                </c:pt>
                <c:pt idx="9">
                  <c:v>其他人员</c:v>
                </c:pt>
              </c:strCache>
            </c:strRef>
          </c:cat>
          <c:val>
            <c:numRef>
              <c:f>Sheet1!$B$2:$B$11</c:f>
              <c:numCache>
                <c:formatCode>0.00%</c:formatCode>
                <c:ptCount val="10"/>
                <c:pt idx="0">
                  <c:v>0.0166563849475632</c:v>
                </c:pt>
                <c:pt idx="1">
                  <c:v>0.0166563849475632</c:v>
                </c:pt>
                <c:pt idx="2">
                  <c:v>0.0225169648365207</c:v>
                </c:pt>
                <c:pt idx="3">
                  <c:v>0.0462677359654534</c:v>
                </c:pt>
                <c:pt idx="4">
                  <c:v>0.0552128315854411</c:v>
                </c:pt>
                <c:pt idx="5">
                  <c:v>0.0663170882171499</c:v>
                </c:pt>
                <c:pt idx="6">
                  <c:v>0.0832819247378162</c:v>
                </c:pt>
                <c:pt idx="7">
                  <c:v>0.163787785317705</c:v>
                </c:pt>
                <c:pt idx="8">
                  <c:v>0.207279457125231</c:v>
                </c:pt>
                <c:pt idx="9">
                  <c:v>0.280690931523751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155768615726"/>
          <c:y val="0.0497202361763108"/>
          <c:w val="0.499565300130221"/>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Sheet1!$A$2:$A$7</c:f>
              <c:strCache>
                <c:ptCount val="6"/>
                <c:pt idx="0">
                  <c:v>其他</c:v>
                </c:pt>
                <c:pt idx="1">
                  <c:v>受周围环境（如父母、同学）影响</c:v>
                </c:pt>
                <c:pt idx="2">
                  <c:v>缓解就业压力</c:v>
                </c:pt>
                <c:pt idx="3">
                  <c:v>对专业感兴趣，愿深入学习</c:v>
                </c:pt>
                <c:pt idx="4">
                  <c:v>提高综合素质/能力</c:v>
                </c:pt>
                <c:pt idx="5">
                  <c:v>增加择业资本，站在更高求职点</c:v>
                </c:pt>
              </c:strCache>
            </c:strRef>
          </c:cat>
          <c:val>
            <c:numRef>
              <c:f>Sheet1!$B$2:$B$7</c:f>
              <c:numCache>
                <c:formatCode>0.00%</c:formatCode>
                <c:ptCount val="6"/>
                <c:pt idx="0">
                  <c:v>0.0136612021857923</c:v>
                </c:pt>
                <c:pt idx="1">
                  <c:v>0.0136612021857923</c:v>
                </c:pt>
                <c:pt idx="2">
                  <c:v>0.10655737704918</c:v>
                </c:pt>
                <c:pt idx="3">
                  <c:v>0.114754098360656</c:v>
                </c:pt>
                <c:pt idx="4">
                  <c:v>0.243169398907104</c:v>
                </c:pt>
                <c:pt idx="5">
                  <c:v>0.508196721311475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678997672461"/>
          <c:y val="0.205869105071543"/>
          <c:w val="0.503459218541079"/>
          <c:h val="0.717294047921429"/>
        </c:manualLayout>
      </c:layout>
      <c:doughnut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10691823899371"/>
                  <c:y val="-6.57101130736516e-17"/>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05660377358491"/>
                  <c:y val="0.0931899641577061"/>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30817610062893"/>
                  <c:y val="-0.0215056585668727"/>
                </c:manualLayout>
              </c:layout>
              <c:showLegendKey val="0"/>
              <c:showVal val="1"/>
              <c:showCatName val="1"/>
              <c:showSerName val="0"/>
              <c:showPercent val="0"/>
              <c:showBubbleSize val="0"/>
              <c:extLst>
                <c:ext xmlns:c15="http://schemas.microsoft.com/office/drawing/2012/chart" uri="{CE6537A1-D6FC-4f65-9D91-7224C49458BB}">
                  <c15:layout>
                    <c:manualLayout>
                      <c:w val="0.236477987421384"/>
                      <c:h val="0.267993113764005"/>
                    </c:manualLayout>
                  </c15:layout>
                </c:ext>
              </c:extLst>
            </c:dLbl>
            <c:dLbl>
              <c:idx val="3"/>
              <c:layout>
                <c:manualLayout>
                  <c:x val="-0.130817610062893"/>
                  <c:y val="-0.100358422939068"/>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125786983633415"/>
                  <c:y val="-0.132019053173909"/>
                </c:manualLayout>
              </c:layout>
              <c:tx>
                <c:rich>
                  <a:bodyPr rot="0" spcFirstLastPara="1" vertOverflow="ellipsis" vert="horz" wrap="square" lIns="38100" tIns="19050" rIns="38100" bIns="19050" anchor="ctr" anchorCtr="1"/>
                  <a:lstStyle/>
                  <a:p>
                    <a:fld id="{d259708d-ab0a-4290-a4ea-a47860cc4cef}" type="CATEGORYNAME">
                      <a:t>[CATEGORY NAME]</a:t>
                    </a:fld>
                    <a:r>
                      <a:t>,</a:t>
                    </a:r>
                    <a:fld id="{4aeadd38-cfc7-4924-a048-4048369944f9}" type="VALUE">
                      <a:t>[VALUE]</a:t>
                    </a:fld>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0.50958904109589</c:v>
                </c:pt>
                <c:pt idx="1">
                  <c:v>0.26027397260274</c:v>
                </c:pt>
                <c:pt idx="2">
                  <c:v>0.164383561643836</c:v>
                </c:pt>
                <c:pt idx="3">
                  <c:v>0.0547945205479452</c:v>
                </c:pt>
                <c:pt idx="4">
                  <c:v>0.010958904109589</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8"/>
          <c:y val="0.0497202361763108"/>
          <c:w val="0.610915420337737"/>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其他</c:v>
                </c:pt>
                <c:pt idx="1">
                  <c:v>就业前景好</c:v>
                </c:pt>
                <c:pt idx="2">
                  <c:v>考取难度低</c:v>
                </c:pt>
                <c:pt idx="3">
                  <c:v>志愿外被调剂</c:v>
                </c:pt>
                <c:pt idx="4">
                  <c:v>出于个人兴趣</c:v>
                </c:pt>
              </c:strCache>
            </c:strRef>
          </c:cat>
          <c:val>
            <c:numRef>
              <c:f>Sheet1!$B$2:$B$6</c:f>
              <c:numCache>
                <c:formatCode>0.00%</c:formatCode>
                <c:ptCount val="5"/>
                <c:pt idx="0">
                  <c:v>0.0833333333333333</c:v>
                </c:pt>
                <c:pt idx="1">
                  <c:v>0.0833333333333333</c:v>
                </c:pt>
                <c:pt idx="2">
                  <c:v>0.166666666666667</c:v>
                </c:pt>
                <c:pt idx="3">
                  <c:v>0.166666666666667</c:v>
                </c:pt>
                <c:pt idx="4">
                  <c:v>0.5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139926447387"/>
          <c:y val="0.0367108379745215"/>
          <c:w val="0.473628197426193"/>
          <c:h val="0.865643684783305"/>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Sheet1!$A$2:$A$10</c:f>
              <c:strCache>
                <c:ptCount val="9"/>
                <c:pt idx="0">
                  <c:v>其他</c:v>
                </c:pt>
                <c:pt idx="1">
                  <c:v>学校老师推荐</c:v>
                </c:pt>
                <c:pt idx="2">
                  <c:v>校外招聘会</c:v>
                </c:pt>
                <c:pt idx="3">
                  <c:v>报告/杂志发布的招聘</c:v>
                </c:pt>
                <c:pt idx="4">
                  <c:v>工作实习</c:v>
                </c:pt>
                <c:pt idx="5">
                  <c:v>学校发布的招聘信息（公共平台/网站/海报等）</c:v>
                </c:pt>
                <c:pt idx="6">
                  <c:v>校园招聘会</c:v>
                </c:pt>
                <c:pt idx="7">
                  <c:v>家庭或其他社会关系</c:v>
                </c:pt>
                <c:pt idx="8">
                  <c:v>校外各类招聘网站信息</c:v>
                </c:pt>
              </c:strCache>
            </c:strRef>
          </c:cat>
          <c:val>
            <c:numRef>
              <c:f>Sheet1!$B$2:$B$10</c:f>
              <c:numCache>
                <c:formatCode>0.00%</c:formatCode>
                <c:ptCount val="9"/>
                <c:pt idx="0">
                  <c:v>0.338926174496644</c:v>
                </c:pt>
                <c:pt idx="1">
                  <c:v>0.0201342281879195</c:v>
                </c:pt>
                <c:pt idx="2">
                  <c:v>0.0134228187919463</c:v>
                </c:pt>
                <c:pt idx="3">
                  <c:v>0.0302013422818792</c:v>
                </c:pt>
                <c:pt idx="4">
                  <c:v>0.140939597315436</c:v>
                </c:pt>
                <c:pt idx="5">
                  <c:v>0.0436241610738255</c:v>
                </c:pt>
                <c:pt idx="6">
                  <c:v>0.0436241610738255</c:v>
                </c:pt>
                <c:pt idx="7">
                  <c:v>0.197986577181208</c:v>
                </c:pt>
                <c:pt idx="8">
                  <c:v>0.171140939597315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Sheet1!$A$2:$A$10</c:f>
              <c:strCache>
                <c:ptCount val="9"/>
                <c:pt idx="0">
                  <c:v>其他</c:v>
                </c:pt>
                <c:pt idx="1">
                  <c:v>学校老师推荐</c:v>
                </c:pt>
                <c:pt idx="2">
                  <c:v>校外招聘会</c:v>
                </c:pt>
                <c:pt idx="3">
                  <c:v>报告/杂志发布的招聘</c:v>
                </c:pt>
                <c:pt idx="4">
                  <c:v>工作实习</c:v>
                </c:pt>
                <c:pt idx="5">
                  <c:v>学校发布的招聘信息（公共平台/网站/海报等）</c:v>
                </c:pt>
                <c:pt idx="6">
                  <c:v>校园招聘会</c:v>
                </c:pt>
                <c:pt idx="7">
                  <c:v>家庭或其他社会关系</c:v>
                </c:pt>
                <c:pt idx="8">
                  <c:v>校外各类招聘网站信息</c:v>
                </c:pt>
              </c:strCache>
            </c:strRef>
          </c:cat>
          <c:val>
            <c:numRef>
              <c:f>Sheet1!$C$2:$C$10</c:f>
              <c:numCache>
                <c:formatCode>0.00%</c:formatCode>
                <c:ptCount val="9"/>
                <c:pt idx="0">
                  <c:v>0.214054054054054</c:v>
                </c:pt>
                <c:pt idx="1">
                  <c:v>0.0227027027027027</c:v>
                </c:pt>
                <c:pt idx="2">
                  <c:v>0.0259459459459459</c:v>
                </c:pt>
                <c:pt idx="3">
                  <c:v>0.0281081081081081</c:v>
                </c:pt>
                <c:pt idx="4">
                  <c:v>0.0551351351351351</c:v>
                </c:pt>
                <c:pt idx="5">
                  <c:v>0.0756756756756757</c:v>
                </c:pt>
                <c:pt idx="6">
                  <c:v>0.141621621621622</c:v>
                </c:pt>
                <c:pt idx="7">
                  <c:v>0.148108108108108</c:v>
                </c:pt>
                <c:pt idx="8">
                  <c:v>0.288648648648649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605525353557"/>
          <c:y val="0.155533285612026"/>
          <c:w val="0.392092966266195"/>
          <c:h val="0.690830464373771"/>
        </c:manualLayout>
      </c:layout>
      <c:radarChart>
        <c:radarStyle val="marker"/>
        <c:varyColors val="0"/>
        <c:ser>
          <c:idx val="0"/>
          <c:order val="0"/>
          <c:tx>
            <c:strRef>
              <c:f>Sheet1!$B$1</c:f>
              <c:strCache>
                <c:ptCount val="1"/>
                <c:pt idx="0">
                  <c:v>总体</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0.0257997418442037"/>
                  <c:y val="-0.0258944236248544"/>
                </c:manualLayout>
              </c:layout>
              <c:tx>
                <c:rich>
                  <a:bodyPr rot="0" spcFirstLastPara="1" vertOverflow="ellipsis" vert="horz" wrap="square" lIns="38100" tIns="19050" rIns="38100" bIns="19050" anchor="ctr" anchorCtr="1"/>
                  <a:lstStyle/>
                  <a:p>
                    <a:fld id="{a90439c2-6e2b-4416-9cc8-a3fba32f0b18}" type="CATEGORYNAME">
                      <a:t>[CATEGORY NAME]</a:t>
                    </a:fld>
                    <a:r>
                      <a:t>,</a:t>
                    </a:r>
                    <a:fld id="{09729703-b04e-4255-bdaf-19eb6c2105bf}" type="VALUE">
                      <a:t>[VALUE]</a:t>
                    </a:fld>
                  </a:p>
                </c:rich>
              </c:tx>
              <c:showLegendKey val="0"/>
              <c:showVal val="1"/>
              <c:showCatName val="1"/>
              <c:showSerName val="0"/>
              <c:showPercent val="0"/>
              <c:showBubbleSize val="0"/>
              <c:extLst>
                <c:ext xmlns:c15="http://schemas.microsoft.com/office/drawing/2012/chart" uri="{CE6537A1-D6FC-4f65-9D91-7224C49458BB}">
                  <c15:layout>
                    <c:manualLayout>
                      <c:w val="0.429098223265169"/>
                      <c:h val="0.163180983838696"/>
                    </c:manualLayout>
                  </c15:layout>
                </c:ext>
              </c:extLst>
            </c:dLbl>
            <c:dLbl>
              <c:idx val="1"/>
              <c:layout>
                <c:manualLayout>
                  <c:x val="0.138787248476274"/>
                  <c:y val="0.0123489020200461"/>
                </c:manualLayout>
              </c:layout>
              <c:showLegendKey val="0"/>
              <c:showVal val="1"/>
              <c:showCatName val="1"/>
              <c:showSerName val="0"/>
              <c:showPercent val="0"/>
              <c:showBubbleSize val="0"/>
              <c:extLst>
                <c:ext xmlns:c15="http://schemas.microsoft.com/office/drawing/2012/chart" uri="{CE6537A1-D6FC-4f65-9D91-7224C49458BB}">
                  <c15:layout>
                    <c:manualLayout>
                      <c:w val="0.254534224120409"/>
                      <c:h val="0.226576089753487"/>
                    </c:manualLayout>
                  </c15:layout>
                </c:ext>
              </c:extLst>
            </c:dLbl>
            <c:dLbl>
              <c:idx val="2"/>
              <c:layout>
                <c:manualLayout>
                  <c:x val="0.126698007871376"/>
                  <c:y val="0.0699326131470643"/>
                </c:manualLayout>
              </c:layout>
              <c:tx>
                <c:rich>
                  <a:bodyPr rot="0" spcFirstLastPara="1" vertOverflow="ellipsis" vert="horz" wrap="square" lIns="38100" tIns="19050" rIns="38100" bIns="19050" anchor="ctr" anchorCtr="1"/>
                  <a:lstStyle/>
                  <a:p>
                    <a:fld id="{af6cb952-c51d-432b-a149-47843d80a0f0}" type="CATEGORYNAME">
                      <a:t>[CATEGORY NAME]</a:t>
                    </a:fld>
                    <a:r>
                      <a:t>,</a:t>
                    </a:r>
                    <a:fld id="{6a9e03e8-3ea3-47e7-a31e-8b6ae0ad3c98}" type="VALUE">
                      <a:t>[VALUE]</a:t>
                    </a:fld>
                  </a:p>
                </c:rich>
              </c:tx>
              <c:showLegendKey val="0"/>
              <c:showVal val="1"/>
              <c:showCatName val="1"/>
              <c:showSerName val="0"/>
              <c:showPercent val="0"/>
              <c:showBubbleSize val="0"/>
              <c:extLst>
                <c:ext xmlns:c15="http://schemas.microsoft.com/office/drawing/2012/chart" uri="{CE6537A1-D6FC-4f65-9D91-7224C49458BB}">
                  <c15:layout>
                    <c:manualLayout>
                      <c:w val="0.294536934140356"/>
                      <c:h val="0.1592394533571"/>
                    </c:manualLayout>
                  </c15:layout>
                </c:ext>
              </c:extLst>
            </c:dLbl>
            <c:dLbl>
              <c:idx val="3"/>
              <c:layout>
                <c:manualLayout>
                  <c:x val="-0.00108330407743626"/>
                  <c:y val="0.0181690301190068"/>
                </c:manualLayout>
              </c:layout>
              <c:showLegendKey val="0"/>
              <c:showVal val="1"/>
              <c:showCatName val="1"/>
              <c:showSerName val="0"/>
              <c:showPercent val="0"/>
              <c:showBubbleSize val="0"/>
              <c:extLst>
                <c:ext xmlns:c15="http://schemas.microsoft.com/office/drawing/2012/chart" uri="{CE6537A1-D6FC-4f65-9D91-7224C49458BB}">
                  <c15:layout>
                    <c:manualLayout>
                      <c:w val="0.286878565607172"/>
                      <c:h val="0.202424242424242"/>
                    </c:manualLayout>
                  </c15:layout>
                </c:ext>
              </c:extLst>
            </c:dLbl>
            <c:dLbl>
              <c:idx val="4"/>
              <c:layout>
                <c:manualLayout>
                  <c:x val="-0.131334517647245"/>
                  <c:y val="0.0399923271623133"/>
                </c:manualLayout>
              </c:layout>
              <c:showLegendKey val="0"/>
              <c:showVal val="1"/>
              <c:showCatName val="1"/>
              <c:showSerName val="0"/>
              <c:showPercent val="0"/>
              <c:showBubbleSize val="0"/>
              <c:extLst>
                <c:ext xmlns:c15="http://schemas.microsoft.com/office/drawing/2012/chart" uri="{CE6537A1-D6FC-4f65-9D91-7224C49458BB}">
                  <c15:layout>
                    <c:manualLayout>
                      <c:w val="0.277640487698005"/>
                      <c:h val="0.226576089753487"/>
                    </c:manualLayout>
                  </c15:layout>
                </c:ext>
              </c:extLst>
            </c:dLbl>
            <c:dLbl>
              <c:idx val="5"/>
              <c:layout>
                <c:manualLayout>
                  <c:x val="-0.114539081039275"/>
                  <c:y val="0.0446465582176559"/>
                </c:manualLayout>
              </c:layout>
              <c:showLegendKey val="0"/>
              <c:showVal val="1"/>
              <c:showCatName val="1"/>
              <c:showSerName val="0"/>
              <c:showPercent val="0"/>
              <c:showBubbleSize val="0"/>
              <c:extLst>
                <c:ext xmlns:c15="http://schemas.microsoft.com/office/drawing/2012/chart" uri="{CE6537A1-D6FC-4f65-9D91-7224C49458BB}">
                  <c15:layout>
                    <c:manualLayout>
                      <c:w val="0.224034005471073"/>
                      <c:h val="0.226576089753487"/>
                    </c:manualLayout>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就业手续办理（如档案迁移等）</c:v>
                </c:pt>
                <c:pt idx="1">
                  <c:v>生涯规划/就业指导课</c:v>
                </c:pt>
                <c:pt idx="2">
                  <c:v>职业咨询与辅导</c:v>
                </c:pt>
                <c:pt idx="3">
                  <c:v>学校发布的招聘信息</c:v>
                </c:pt>
                <c:pt idx="4">
                  <c:v>校园招聘会/宣讲会</c:v>
                </c:pt>
                <c:pt idx="5">
                  <c:v>就业帮扶与推荐</c:v>
                </c:pt>
              </c:strCache>
            </c:strRef>
          </c:cat>
          <c:val>
            <c:numRef>
              <c:f>Sheet1!$B$2:$B$7</c:f>
              <c:numCache>
                <c:formatCode>0.00%</c:formatCode>
                <c:ptCount val="6"/>
                <c:pt idx="0">
                  <c:v>0.957372466806429</c:v>
                </c:pt>
                <c:pt idx="1">
                  <c:v>0.951151430565248</c:v>
                </c:pt>
                <c:pt idx="2">
                  <c:v>0.935010482180293</c:v>
                </c:pt>
                <c:pt idx="3">
                  <c:v>0.92941998602376</c:v>
                </c:pt>
                <c:pt idx="4">
                  <c:v>0.925383542538354</c:v>
                </c:pt>
                <c:pt idx="5">
                  <c:v>0.92140350877193</c:v>
                </c:pt>
              </c:numCache>
            </c:numRef>
          </c:val>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001518080"/>
        <c:crosses val="autoZero"/>
        <c:auto val="1"/>
        <c:lblAlgn val="ctr"/>
        <c:lblOffset val="100"/>
        <c:noMultiLvlLbl val="0"/>
      </c:catAx>
      <c:valAx>
        <c:axId val="1001518080"/>
        <c:scaling>
          <c:orientation val="minMax"/>
          <c:min val="0.3"/>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754984776"/>
        <c:crosses val="autoZero"/>
        <c:crossBetween val="between"/>
        <c:majorUnit val="0.7"/>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929770837134"/>
          <c:y val="0.0333140272359572"/>
          <c:w val="0.616537327061235"/>
          <c:h val="0.865643684783305"/>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Sheet1!$A$2:$A$10</c:f>
              <c:strCache>
                <c:ptCount val="9"/>
                <c:pt idx="0">
                  <c:v>单位社会声誉</c:v>
                </c:pt>
                <c:pt idx="1">
                  <c:v>地方人才引进政策</c:v>
                </c:pt>
                <c:pt idx="2">
                  <c:v>可兼顾家庭及亲友关系</c:v>
                </c:pt>
                <c:pt idx="3">
                  <c:v>工作地点</c:v>
                </c:pt>
                <c:pt idx="4">
                  <c:v>个人兴趣爱好</c:v>
                </c:pt>
                <c:pt idx="5">
                  <c:v>专业对口程度</c:v>
                </c:pt>
                <c:pt idx="6">
                  <c:v>工作稳定性</c:v>
                </c:pt>
                <c:pt idx="7">
                  <c:v>薪酬福利水平</c:v>
                </c:pt>
                <c:pt idx="8">
                  <c:v>个人发展空间</c:v>
                </c:pt>
              </c:strCache>
            </c:strRef>
          </c:cat>
          <c:val>
            <c:numRef>
              <c:f>Sheet1!$B$2:$B$10</c:f>
              <c:numCache>
                <c:formatCode>0.00%</c:formatCode>
                <c:ptCount val="9"/>
                <c:pt idx="0">
                  <c:v>0.0103448275862069</c:v>
                </c:pt>
                <c:pt idx="1">
                  <c:v>0.00689655172413793</c:v>
                </c:pt>
                <c:pt idx="2">
                  <c:v>0.0517241379310345</c:v>
                </c:pt>
                <c:pt idx="3">
                  <c:v>0.0413793103448276</c:v>
                </c:pt>
                <c:pt idx="4">
                  <c:v>0.0689655172413793</c:v>
                </c:pt>
                <c:pt idx="5">
                  <c:v>0.168965517241379</c:v>
                </c:pt>
                <c:pt idx="6">
                  <c:v>0.148275862068966</c:v>
                </c:pt>
                <c:pt idx="7">
                  <c:v>0.196551724137931</c:v>
                </c:pt>
                <c:pt idx="8">
                  <c:v>0.306896551724138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Sheet1!$A$2:$A$10</c:f>
              <c:strCache>
                <c:ptCount val="9"/>
                <c:pt idx="0">
                  <c:v>单位社会声誉</c:v>
                </c:pt>
                <c:pt idx="1">
                  <c:v>地方人才引进政策</c:v>
                </c:pt>
                <c:pt idx="2">
                  <c:v>可兼顾家庭及亲友关系</c:v>
                </c:pt>
                <c:pt idx="3">
                  <c:v>工作地点</c:v>
                </c:pt>
                <c:pt idx="4">
                  <c:v>个人兴趣爱好</c:v>
                </c:pt>
                <c:pt idx="5">
                  <c:v>专业对口程度</c:v>
                </c:pt>
                <c:pt idx="6">
                  <c:v>工作稳定性</c:v>
                </c:pt>
                <c:pt idx="7">
                  <c:v>薪酬福利水平</c:v>
                </c:pt>
                <c:pt idx="8">
                  <c:v>个人发展空间</c:v>
                </c:pt>
              </c:strCache>
            </c:strRef>
          </c:cat>
          <c:val>
            <c:numRef>
              <c:f>Sheet1!$C$2:$C$10</c:f>
              <c:numCache>
                <c:formatCode>0.00%</c:formatCode>
                <c:ptCount val="9"/>
                <c:pt idx="0">
                  <c:v>0.00979325353645267</c:v>
                </c:pt>
                <c:pt idx="1">
                  <c:v>0.0119695321001088</c:v>
                </c:pt>
                <c:pt idx="2">
                  <c:v>0.0250272034820457</c:v>
                </c:pt>
                <c:pt idx="3">
                  <c:v>0.0609357997823721</c:v>
                </c:pt>
                <c:pt idx="4">
                  <c:v>0.108813928182807</c:v>
                </c:pt>
                <c:pt idx="5">
                  <c:v>0.140369967355822</c:v>
                </c:pt>
                <c:pt idx="6">
                  <c:v>0.145810663764962</c:v>
                </c:pt>
                <c:pt idx="7">
                  <c:v>0.184983677910773</c:v>
                </c:pt>
                <c:pt idx="8">
                  <c:v>0.312295973884657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42739980231"/>
          <c:y val="0.128868251516407"/>
          <c:w val="0.80144747325213"/>
          <c:h val="0.841724513054289"/>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0.0857972000083199"/>
                  <c:y val="3.04309787363536e-7"/>
                </c:manualLayout>
              </c:layout>
              <c:tx>
                <c:rich>
                  <a:bodyPr rot="0" spcFirstLastPara="1" vertOverflow="ellipsis" vert="horz" wrap="square" lIns="38100" tIns="19050" rIns="38100" bIns="19050" anchor="ctr" anchorCtr="1"/>
                  <a:lstStyle/>
                  <a:p>
                    <a:fld id="{69c28595-bfd3-421f-8d1d-dbe294a32f1b}"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0746448350589935"/>
                  <c:y val="1.51357040640238e-16"/>
                </c:manualLayout>
              </c:layout>
              <c:tx>
                <c:rich>
                  <a:bodyPr rot="0" spcFirstLastPara="1" vertOverflow="ellipsis" vert="horz" wrap="square" lIns="38100" tIns="19050" rIns="38100" bIns="19050" anchor="ctr" anchorCtr="1"/>
                  <a:lstStyle/>
                  <a:p>
                    <a:fld id="{01bc8769-292e-4421-93a0-5bee84ba0b86}"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08186852877438"/>
                  <c:y val="0"/>
                </c:manualLayout>
              </c:layout>
              <c:tx>
                <c:rich>
                  <a:bodyPr rot="0" spcFirstLastPara="1" vertOverflow="ellipsis" vert="horz" wrap="square" lIns="38100" tIns="19050" rIns="38100" bIns="19050" anchor="ctr" anchorCtr="1"/>
                  <a:lstStyle/>
                  <a:p>
                    <a:fld id="{9141dfda-f67e-4919-a6a0-c5db11925b58}"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0770527329641223"/>
                  <c:y val="0"/>
                </c:manualLayout>
              </c:layout>
              <c:tx>
                <c:rich>
                  <a:bodyPr rot="0" spcFirstLastPara="1" vertOverflow="ellipsis" vert="horz" wrap="square" lIns="38100" tIns="19050" rIns="38100" bIns="19050" anchor="ctr" anchorCtr="1"/>
                  <a:lstStyle/>
                  <a:p>
                    <a:fld id="{6e04f67b-5e23-4785-9e74-fcbe71773a7f}"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0866843245846376"/>
                  <c:y val="7.56785203201188e-17"/>
                </c:manualLayout>
              </c:layout>
              <c:tx>
                <c:rich>
                  <a:bodyPr rot="0" spcFirstLastPara="1" vertOverflow="ellipsis" vert="horz" wrap="square" lIns="38100" tIns="19050" rIns="38100" bIns="19050" anchor="ctr" anchorCtr="1"/>
                  <a:lstStyle/>
                  <a:p>
                    <a:fld id="{c4ecabba-e553-43cd-847d-f5b8574d5abe}"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0915001203948953"/>
                  <c:y val="3.25036769784582e-7"/>
                </c:manualLayout>
              </c:layout>
              <c:tx>
                <c:rich>
                  <a:bodyPr rot="0" spcFirstLastPara="1" vertOverflow="ellipsis" vert="horz" wrap="square" lIns="38100" tIns="19050" rIns="38100" bIns="19050" anchor="ctr" anchorCtr="1"/>
                  <a:lstStyle/>
                  <a:p>
                    <a:fld id="{26402917-6916-46bd-8a8c-680289de5313}"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0963159162051529"/>
                  <c:y val="3.78392601600594e-17"/>
                </c:manualLayout>
              </c:layout>
              <c:tx>
                <c:rich>
                  <a:bodyPr rot="0" spcFirstLastPara="1" vertOverflow="ellipsis" vert="horz" wrap="square" lIns="38100" tIns="19050" rIns="38100" bIns="19050" anchor="ctr" anchorCtr="1"/>
                  <a:lstStyle/>
                  <a:p>
                    <a:fld id="{a9b84c25-ca9a-455a-bdd5-093611369538}"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10763303635926"/>
                  <c:y val="-1.89196300800297e-17"/>
                </c:manualLayout>
              </c:layout>
              <c:tx>
                <c:rich>
                  <a:bodyPr rot="0" spcFirstLastPara="1" vertOverflow="ellipsis" vert="horz" wrap="square" lIns="38100" tIns="19050" rIns="38100" bIns="19050" anchor="ctr" anchorCtr="1"/>
                  <a:lstStyle/>
                  <a:p>
                    <a:fld id="{9192cc64-a275-4eb8-997a-37765d5cc198}"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116316639741519"/>
                  <c:y val="-0.00744878957169458"/>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v>其他</c:v>
                </c:pt>
                <c:pt idx="1">
                  <c:v>报告/杂志发布的招聘</c:v>
                </c:pt>
                <c:pt idx="2">
                  <c:v>校外招聘会</c:v>
                </c:pt>
                <c:pt idx="3">
                  <c:v>学校老师推荐</c:v>
                </c:pt>
                <c:pt idx="4">
                  <c:v>学校发布的招聘信息（公共平台/网站/海报等）</c:v>
                </c:pt>
                <c:pt idx="5">
                  <c:v>工作实习</c:v>
                </c:pt>
                <c:pt idx="6">
                  <c:v>校园招聘会</c:v>
                </c:pt>
                <c:pt idx="7">
                  <c:v>家庭或其他社会关系</c:v>
                </c:pt>
                <c:pt idx="8">
                  <c:v>校外各类招聘网站信息</c:v>
                </c:pt>
              </c:strCache>
            </c:strRef>
          </c:cat>
          <c:val>
            <c:numRef>
              <c:f>Sheet1!$B$2:$B$10</c:f>
              <c:numCache>
                <c:formatCode>0.00%</c:formatCode>
                <c:ptCount val="9"/>
                <c:pt idx="0">
                  <c:v>-0.191117092866756</c:v>
                </c:pt>
                <c:pt idx="1">
                  <c:v>-0.0255720053835801</c:v>
                </c:pt>
                <c:pt idx="2">
                  <c:v>-0.0309555854643338</c:v>
                </c:pt>
                <c:pt idx="3">
                  <c:v>-0.0376850605652759</c:v>
                </c:pt>
                <c:pt idx="4">
                  <c:v>-0.0578734858681023</c:v>
                </c:pt>
                <c:pt idx="5">
                  <c:v>-0.0820995962314939</c:v>
                </c:pt>
                <c:pt idx="6">
                  <c:v>-0.139973082099596</c:v>
                </c:pt>
                <c:pt idx="7">
                  <c:v>-0.141318977119785</c:v>
                </c:pt>
                <c:pt idx="8">
                  <c:v>-0.293405114401077</c:v>
                </c:pt>
              </c:numCache>
            </c:numRef>
          </c:val>
          <c:extLst>
            <c:ext xmlns:c15="http://schemas.microsoft.com/office/drawing/2012/chart" uri="{02D57815-91ED-43cb-92C2-25804820EDAC}">
              <c15:datalabelsRange>
                <c15:f>Sheet1!#REF!</c15:f>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dLbl>
              <c:idx val="8"/>
              <c:layout>
                <c:manualLayout>
                  <c:x val="0.00114850120592627"/>
                  <c:y val="0.00772946859903382"/>
                </c:manualLayout>
              </c:layout>
              <c:dLblPos val="ctr"/>
              <c:showLegendKey val="0"/>
              <c:showVal val="0"/>
              <c:showCatName val="1"/>
              <c:showSerName val="0"/>
              <c:showPercent val="0"/>
              <c:showBubbleSize val="0"/>
              <c:extLst>
                <c:ext xmlns:c15="http://schemas.microsoft.com/office/drawing/2012/chart" uri="{CE6537A1-D6FC-4f65-9D91-7224C49458BB}">
                  <c15:layout>
                    <c:manualLayout>
                      <c:w val="0.277937291834156"/>
                      <c:h val="0.112038647342995"/>
                    </c:manualLayout>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v>其他</c:v>
                </c:pt>
                <c:pt idx="1">
                  <c:v>报告/杂志发布的招聘</c:v>
                </c:pt>
                <c:pt idx="2">
                  <c:v>校外招聘会</c:v>
                </c:pt>
                <c:pt idx="3">
                  <c:v>学校老师推荐</c:v>
                </c:pt>
                <c:pt idx="4">
                  <c:v>学校发布的招聘信息（公共平台/网站/海报等）</c:v>
                </c:pt>
                <c:pt idx="5">
                  <c:v>工作实习</c:v>
                </c:pt>
                <c:pt idx="6">
                  <c:v>校园招聘会</c:v>
                </c:pt>
                <c:pt idx="7">
                  <c:v>家庭或其他社会关系</c:v>
                </c:pt>
                <c:pt idx="8">
                  <c:v>校外各类招聘网站信息</c:v>
                </c:pt>
              </c:strCache>
            </c:strRef>
          </c:cat>
          <c:val>
            <c:numRef>
              <c:f>Sheet1!$C$2:$C$10</c:f>
              <c:numCache>
                <c:formatCode>0.00%</c:formatCode>
                <c:ptCount val="9"/>
                <c:pt idx="0">
                  <c:v>1</c:v>
                </c:pt>
                <c:pt idx="1">
                  <c:v>1</c:v>
                </c:pt>
                <c:pt idx="2">
                  <c:v>1</c:v>
                </c:pt>
                <c:pt idx="3">
                  <c:v>1</c:v>
                </c:pt>
                <c:pt idx="4">
                  <c:v>1</c:v>
                </c:pt>
                <c:pt idx="5">
                  <c:v>1</c:v>
                </c:pt>
                <c:pt idx="6">
                  <c:v>1</c:v>
                </c:pt>
                <c:pt idx="7">
                  <c:v>1</c:v>
                </c:pt>
                <c:pt idx="8">
                  <c:v>1</c:v>
                </c:pt>
              </c:numCache>
            </c:numRef>
          </c:val>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0.108355405730797"/>
                  <c:y val="-0.00412796697626419"/>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92318805682639"/>
                      <c:h val="0.126728586171311"/>
                    </c:manualLayout>
                  </c15:layout>
                </c:ext>
              </c:extLst>
            </c:dLbl>
            <c:dLbl>
              <c:idx val="1"/>
              <c:layout>
                <c:manualLayout>
                  <c:x val="0.0987238141102817"/>
                  <c:y val="-0.0041279669762642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3539609920539"/>
                  <c:y val="0.004127966976264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80781237120052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9104899666331"/>
                  <c:y val="0.00571090803732171"/>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13386364369452"/>
                      <c:h val="0.0845934547437768"/>
                    </c:manualLayout>
                  </c15:layout>
                </c:ext>
              </c:extLst>
            </c:dLbl>
            <c:dLbl>
              <c:idx val="5"/>
              <c:layout>
                <c:manualLayout>
                  <c:x val="0.0922924603700823"/>
                  <c:y val="-7.21492386759102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890922224897664"/>
                  <c:y val="-3.78392601600594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17986997351312"/>
                  <c:y val="1.89196300800297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05546580506193"/>
                  <c:y val="-1.70699455749989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v>其他</c:v>
                </c:pt>
                <c:pt idx="1">
                  <c:v>报告/杂志发布的招聘</c:v>
                </c:pt>
                <c:pt idx="2">
                  <c:v>校外招聘会</c:v>
                </c:pt>
                <c:pt idx="3">
                  <c:v>学校老师推荐</c:v>
                </c:pt>
                <c:pt idx="4">
                  <c:v>学校发布的招聘信息（公共平台/网站/海报等）</c:v>
                </c:pt>
                <c:pt idx="5">
                  <c:v>工作实习</c:v>
                </c:pt>
                <c:pt idx="6">
                  <c:v>校园招聘会</c:v>
                </c:pt>
                <c:pt idx="7">
                  <c:v>家庭或其他社会关系</c:v>
                </c:pt>
                <c:pt idx="8">
                  <c:v>校外各类招聘网站信息</c:v>
                </c:pt>
              </c:strCache>
            </c:strRef>
          </c:cat>
          <c:val>
            <c:numRef>
              <c:f>Sheet1!$D$2:$D$10</c:f>
              <c:numCache>
                <c:formatCode>0.00%</c:formatCode>
                <c:ptCount val="9"/>
                <c:pt idx="0">
                  <c:v>0.30316742081448</c:v>
                </c:pt>
                <c:pt idx="1">
                  <c:v>0.0361990950226244</c:v>
                </c:pt>
                <c:pt idx="2">
                  <c:v>0.00452488687782805</c:v>
                </c:pt>
                <c:pt idx="3">
                  <c:v>0.0226244343891403</c:v>
                </c:pt>
                <c:pt idx="4">
                  <c:v>0.0226244343891403</c:v>
                </c:pt>
                <c:pt idx="5">
                  <c:v>0.221719457013575</c:v>
                </c:pt>
                <c:pt idx="6">
                  <c:v>0.0180995475113122</c:v>
                </c:pt>
                <c:pt idx="7">
                  <c:v>0.199095022624434</c:v>
                </c:pt>
                <c:pt idx="8">
                  <c:v>0.171945701357466</c:v>
                </c:pt>
              </c:numCache>
            </c:numRef>
          </c:val>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55731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75817369178598"/>
          <c:y val="0.121013981532563"/>
          <c:w val="0.776180360330564"/>
          <c:h val="0.851292664850015"/>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0.067421141343607"/>
                  <c:y val="0"/>
                </c:manualLayout>
              </c:layout>
              <c:tx>
                <c:rich>
                  <a:bodyPr rot="0" spcFirstLastPara="1" vertOverflow="ellipsis" vert="horz" wrap="square" lIns="38100" tIns="19050" rIns="38100" bIns="19050" anchor="ctr" anchorCtr="1"/>
                  <a:lstStyle/>
                  <a:p>
                    <a:fld id="{aa0dc4e1-aad0-4423-8dd7-667f082a7b8b}"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0746448350589935"/>
                  <c:y val="1.51357040640238e-16"/>
                </c:manualLayout>
              </c:layout>
              <c:tx>
                <c:rich>
                  <a:bodyPr rot="0" spcFirstLastPara="1" vertOverflow="ellipsis" vert="horz" wrap="square" lIns="38100" tIns="19050" rIns="38100" bIns="19050" anchor="ctr" anchorCtr="1"/>
                  <a:lstStyle/>
                  <a:p>
                    <a:fld id="{df9d098a-fe9a-496a-9f4c-3ce4ade43fde}"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08186852877438"/>
                  <c:y val="0"/>
                </c:manualLayout>
              </c:layout>
              <c:tx>
                <c:rich>
                  <a:bodyPr rot="0" spcFirstLastPara="1" vertOverflow="ellipsis" vert="horz" wrap="square" lIns="38100" tIns="19050" rIns="38100" bIns="19050" anchor="ctr" anchorCtr="1"/>
                  <a:lstStyle/>
                  <a:p>
                    <a:fld id="{75327e7c-4f01-4ba9-ba6e-ebb08d45586c}"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0770527329641223"/>
                  <c:y val="0"/>
                </c:manualLayout>
              </c:layout>
              <c:tx>
                <c:rich>
                  <a:bodyPr rot="0" spcFirstLastPara="1" vertOverflow="ellipsis" vert="horz" wrap="square" lIns="38100" tIns="19050" rIns="38100" bIns="19050" anchor="ctr" anchorCtr="1"/>
                  <a:lstStyle/>
                  <a:p>
                    <a:fld id="{f795e4db-aa29-4e0a-8f49-e83113fd7529}"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0866843245846376"/>
                  <c:y val="7.56785203201188e-17"/>
                </c:manualLayout>
              </c:layout>
              <c:tx>
                <c:rich>
                  <a:bodyPr rot="0" spcFirstLastPara="1" vertOverflow="ellipsis" vert="horz" wrap="square" lIns="38100" tIns="19050" rIns="38100" bIns="19050" anchor="ctr" anchorCtr="1"/>
                  <a:lstStyle/>
                  <a:p>
                    <a:fld id="{5a79893b-34f3-4f50-a558-6233be8a3d0a}"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0915001203948953"/>
                  <c:y val="3.25036769784582e-7"/>
                </c:manualLayout>
              </c:layout>
              <c:tx>
                <c:rich>
                  <a:bodyPr rot="0" spcFirstLastPara="1" vertOverflow="ellipsis" vert="horz" wrap="square" lIns="38100" tIns="19050" rIns="38100" bIns="19050" anchor="ctr" anchorCtr="1"/>
                  <a:lstStyle/>
                  <a:p>
                    <a:fld id="{f9c07d1a-2d47-4f0b-ade3-ecbe8b5f9853}"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0963159162051529"/>
                  <c:y val="3.78392601600594e-17"/>
                </c:manualLayout>
              </c:layout>
              <c:tx>
                <c:rich>
                  <a:bodyPr rot="0" spcFirstLastPara="1" vertOverflow="ellipsis" vert="horz" wrap="square" lIns="38100" tIns="19050" rIns="38100" bIns="19050" anchor="ctr" anchorCtr="1"/>
                  <a:lstStyle/>
                  <a:p>
                    <a:fld id="{d2ce59d6-3610-4d8f-bf19-ac995dba9b7c}"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10763303635926"/>
                  <c:y val="-1.89196300800297e-17"/>
                </c:manualLayout>
              </c:layout>
              <c:tx>
                <c:rich>
                  <a:bodyPr rot="0" spcFirstLastPara="1" vertOverflow="ellipsis" vert="horz" wrap="square" lIns="38100" tIns="19050" rIns="38100" bIns="19050" anchor="ctr" anchorCtr="1"/>
                  <a:lstStyle/>
                  <a:p>
                    <a:fld id="{7c4bf5eb-35b3-431b-a9c2-a9f9af6d616c}"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116316639741519"/>
                  <c:y val="-0.00744878957169458"/>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dLbl>
              <c:idx val="9"/>
              <c:layout>
                <c:manualLayout>
                  <c:x val="-0.115449915110357"/>
                  <c:y val="0.0035749034555394"/>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Sheet1!$A$2:$A$11</c:f>
              <c:strCache>
                <c:ptCount val="10"/>
                <c:pt idx="0">
                  <c:v>母校声誉高</c:v>
                </c:pt>
                <c:pt idx="1">
                  <c:v>学生干部经历</c:v>
                </c:pt>
                <c:pt idx="2">
                  <c:v>形象气质好</c:v>
                </c:pt>
                <c:pt idx="3">
                  <c:v>资格证书、获奖经历多</c:v>
                </c:pt>
                <c:pt idx="4">
                  <c:v>人脉关系广</c:v>
                </c:pt>
                <c:pt idx="5">
                  <c:v>掌握求职技巧</c:v>
                </c:pt>
                <c:pt idx="6">
                  <c:v>掌握充分的就业信息</c:v>
                </c:pt>
                <c:pt idx="7">
                  <c:v>学历层次高</c:v>
                </c:pt>
                <c:pt idx="8">
                  <c:v>实践、实习经验丰富</c:v>
                </c:pt>
                <c:pt idx="9">
                  <c:v>专业相关能力强</c:v>
                </c:pt>
              </c:strCache>
            </c:strRef>
          </c:cat>
          <c:val>
            <c:numRef>
              <c:f>Sheet1!$B$2:$B$11</c:f>
              <c:numCache>
                <c:formatCode>0.00%</c:formatCode>
                <c:ptCount val="10"/>
                <c:pt idx="0">
                  <c:v>-0.0175913396481732</c:v>
                </c:pt>
                <c:pt idx="1">
                  <c:v>-0.020297699594046</c:v>
                </c:pt>
                <c:pt idx="2">
                  <c:v>-0.0230040595399188</c:v>
                </c:pt>
                <c:pt idx="3">
                  <c:v>-0.0284167794316644</c:v>
                </c:pt>
                <c:pt idx="4">
                  <c:v>-0.0311231393775372</c:v>
                </c:pt>
                <c:pt idx="5">
                  <c:v>-0.060893098782138</c:v>
                </c:pt>
                <c:pt idx="6">
                  <c:v>-0.0933694181326116</c:v>
                </c:pt>
                <c:pt idx="7">
                  <c:v>-0.147496617050068</c:v>
                </c:pt>
                <c:pt idx="8">
                  <c:v>-0.201623815967524</c:v>
                </c:pt>
                <c:pt idx="9">
                  <c:v>-0.376184032476319</c:v>
                </c:pt>
              </c:numCache>
            </c:numRef>
          </c:val>
          <c:extLst>
            <c:ext xmlns:c15="http://schemas.microsoft.com/office/drawing/2012/chart" uri="{02D57815-91ED-43cb-92C2-25804820EDAC}">
              <c15:datalabelsRange>
                <c15:f>Sheet1!#REF!</c15:f>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dLbl>
              <c:idx val="3"/>
              <c:layout>
                <c:manualLayout>
                  <c:x val="0.00792303338992638"/>
                  <c:y val="0.00283085633404105"/>
                </c:manualLayout>
              </c:layout>
              <c:dLblPos val="ctr"/>
              <c:showLegendKey val="0"/>
              <c:showVal val="0"/>
              <c:showCatName val="1"/>
              <c:showSerName val="0"/>
              <c:showPercent val="0"/>
              <c:showBubbleSize val="0"/>
              <c:extLst>
                <c:ext xmlns:c15="http://schemas.microsoft.com/office/drawing/2012/chart" uri="{CE6537A1-D6FC-4f65-9D91-7224C49458BB}">
                  <c15:layout>
                    <c:manualLayout>
                      <c:w val="0.251273344651952"/>
                      <c:h val="0.08206652512385"/>
                    </c:manualLayout>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Sheet1!$A$2:$A$11</c:f>
              <c:strCache>
                <c:ptCount val="10"/>
                <c:pt idx="0">
                  <c:v>母校声誉高</c:v>
                </c:pt>
                <c:pt idx="1">
                  <c:v>学生干部经历</c:v>
                </c:pt>
                <c:pt idx="2">
                  <c:v>形象气质好</c:v>
                </c:pt>
                <c:pt idx="3">
                  <c:v>资格证书、获奖经历多</c:v>
                </c:pt>
                <c:pt idx="4">
                  <c:v>人脉关系广</c:v>
                </c:pt>
                <c:pt idx="5">
                  <c:v>掌握求职技巧</c:v>
                </c:pt>
                <c:pt idx="6">
                  <c:v>掌握充分的就业信息</c:v>
                </c:pt>
                <c:pt idx="7">
                  <c:v>学历层次高</c:v>
                </c:pt>
                <c:pt idx="8">
                  <c:v>实践、实习经验丰富</c:v>
                </c:pt>
                <c:pt idx="9">
                  <c:v>专业相关能力强</c:v>
                </c:pt>
              </c:strCache>
            </c:strRef>
          </c:cat>
          <c:val>
            <c:numRef>
              <c:f>Sheet1!$C$2:$C$11</c:f>
              <c:numCache>
                <c:formatCode>0.00%</c:formatCode>
                <c:ptCount val="10"/>
                <c:pt idx="0">
                  <c:v>1</c:v>
                </c:pt>
                <c:pt idx="1">
                  <c:v>1</c:v>
                </c:pt>
                <c:pt idx="2">
                  <c:v>1</c:v>
                </c:pt>
                <c:pt idx="3">
                  <c:v>1</c:v>
                </c:pt>
                <c:pt idx="4">
                  <c:v>1</c:v>
                </c:pt>
                <c:pt idx="5">
                  <c:v>1</c:v>
                </c:pt>
                <c:pt idx="6">
                  <c:v>1</c:v>
                </c:pt>
                <c:pt idx="7">
                  <c:v>1</c:v>
                </c:pt>
                <c:pt idx="8">
                  <c:v>1</c:v>
                </c:pt>
                <c:pt idx="9">
                  <c:v>1</c:v>
                </c:pt>
              </c:numCache>
            </c:numRef>
          </c:val>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0.108355405730797"/>
                  <c:y val="-0.00412796697626419"/>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92318805682639"/>
                      <c:h val="0.126728586171311"/>
                    </c:manualLayout>
                  </c15:layout>
                </c:ext>
              </c:extLst>
            </c:dLbl>
            <c:dLbl>
              <c:idx val="1"/>
              <c:layout>
                <c:manualLayout>
                  <c:x val="0.0987238141102817"/>
                  <c:y val="-0.0041279669762642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3539609920539"/>
                  <c:y val="0.004127966976264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80781237120052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9104899666331"/>
                  <c:y val="0.00571090803732171"/>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13386364369452"/>
                      <c:h val="0.0845934547437768"/>
                    </c:manualLayout>
                  </c15:layout>
                </c:ext>
              </c:extLst>
            </c:dLbl>
            <c:dLbl>
              <c:idx val="5"/>
              <c:layout>
                <c:manualLayout>
                  <c:x val="0.0922924603700823"/>
                  <c:y val="-7.21492386759102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890922224897664"/>
                  <c:y val="-3.78392601600594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17986997351312"/>
                  <c:y val="1.89196300800297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05546580506193"/>
                  <c:y val="-1.70699455749989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12450481041313"/>
                  <c:y val="-2.59492166278114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Sheet1!$A$2:$A$11</c:f>
              <c:strCache>
                <c:ptCount val="10"/>
                <c:pt idx="0">
                  <c:v>母校声誉高</c:v>
                </c:pt>
                <c:pt idx="1">
                  <c:v>学生干部经历</c:v>
                </c:pt>
                <c:pt idx="2">
                  <c:v>形象气质好</c:v>
                </c:pt>
                <c:pt idx="3">
                  <c:v>资格证书、获奖经历多</c:v>
                </c:pt>
                <c:pt idx="4">
                  <c:v>人脉关系广</c:v>
                </c:pt>
                <c:pt idx="5">
                  <c:v>掌握求职技巧</c:v>
                </c:pt>
                <c:pt idx="6">
                  <c:v>掌握充分的就业信息</c:v>
                </c:pt>
                <c:pt idx="7">
                  <c:v>学历层次高</c:v>
                </c:pt>
                <c:pt idx="8">
                  <c:v>实践、实习经验丰富</c:v>
                </c:pt>
                <c:pt idx="9">
                  <c:v>专业相关能力强</c:v>
                </c:pt>
              </c:strCache>
            </c:strRef>
          </c:cat>
          <c:val>
            <c:numRef>
              <c:f>Sheet1!$D$2:$D$11</c:f>
              <c:numCache>
                <c:formatCode>0.00%</c:formatCode>
                <c:ptCount val="10"/>
                <c:pt idx="0">
                  <c:v>0.0138888888888889</c:v>
                </c:pt>
                <c:pt idx="1">
                  <c:v>0.00462962962962963</c:v>
                </c:pt>
                <c:pt idx="2">
                  <c:v>0.0324074074074074</c:v>
                </c:pt>
                <c:pt idx="3">
                  <c:v>0.0138888888888889</c:v>
                </c:pt>
                <c:pt idx="4">
                  <c:v>0.0601851851851852</c:v>
                </c:pt>
                <c:pt idx="5">
                  <c:v>0.0462962962962963</c:v>
                </c:pt>
                <c:pt idx="6">
                  <c:v>0.0601851851851852</c:v>
                </c:pt>
                <c:pt idx="7">
                  <c:v>0.166666666666667</c:v>
                </c:pt>
                <c:pt idx="8">
                  <c:v>0.24537037037037</c:v>
                </c:pt>
                <c:pt idx="9">
                  <c:v>0.356481481481481</c:v>
                </c:pt>
              </c:numCache>
            </c:numRef>
          </c:val>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55731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02740378684431"/>
          <c:y val="0.155848390487713"/>
          <c:w val="0.847323898126996"/>
          <c:h val="0.843123956096397"/>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0.133284668427792"/>
                  <c:y val="4.85600724629344e-7"/>
                </c:manualLayout>
              </c:layout>
              <c:tx>
                <c:rich>
                  <a:bodyPr rot="0" spcFirstLastPara="1" vertOverflow="ellipsis" vert="horz" wrap="square" lIns="38100" tIns="19050" rIns="38100" bIns="19050" anchor="ctr" anchorCtr="1"/>
                  <a:lstStyle/>
                  <a:p>
                    <a:fld id="{a984435f-9aa8-4db4-ab64-7055c205e2fd}"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delete val="1"/>
            </c:dLbl>
            <c:dLbl>
              <c:idx val="2"/>
              <c:layout>
                <c:manualLayout>
                  <c:x val="-0.130003316372457"/>
                  <c:y val="0.00427384076990376"/>
                </c:manualLayout>
              </c:layout>
              <c:tx>
                <c:rich>
                  <a:bodyPr rot="0" spcFirstLastPara="1" vertOverflow="ellipsis" vert="horz" wrap="square" lIns="38100" tIns="19050" rIns="38100" bIns="19050" anchor="ctr" anchorCtr="1"/>
                  <a:lstStyle/>
                  <a:p>
                    <a:fld id="{c05d1213-0256-4589-9c6f-91a6420e45a3}"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0770527329641223"/>
                  <c:y val="0"/>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dLbl>
              <c:idx val="4"/>
              <c:layout>
                <c:manualLayout>
                  <c:x val="-0.0866843245846376"/>
                  <c:y val="7.56785203201188e-17"/>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dLbl>
              <c:idx val="5"/>
              <c:layout>
                <c:manualLayout>
                  <c:x val="-0.147685907170842"/>
                  <c:y val="7.28401086774421e-7"/>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对未来职业规划思考不足</c:v>
                </c:pt>
                <c:pt idx="2">
                  <c:v>专业不对口，就业面窄</c:v>
                </c:pt>
                <c:pt idx="3">
                  <c:v>缺乏相关实习、实践经验</c:v>
                </c:pt>
                <c:pt idx="4">
                  <c:v>专业知识与就业市场需求脱节</c:v>
                </c:pt>
                <c:pt idx="5">
                  <c:v>有工作意向，还在观望</c:v>
                </c:pt>
              </c:strCache>
            </c:strRef>
          </c:cat>
          <c:val>
            <c:numRef>
              <c:f>Sheet1!$B$2:$B$7</c:f>
              <c:numCache>
                <c:formatCode>0.00%</c:formatCode>
                <c:ptCount val="6"/>
                <c:pt idx="0">
                  <c:v>-0.4091</c:v>
                </c:pt>
                <c:pt idx="1">
                  <c:v>0</c:v>
                </c:pt>
                <c:pt idx="2">
                  <c:v>-0.0454545454545455</c:v>
                </c:pt>
                <c:pt idx="3">
                  <c:v>-0.0454545454545455</c:v>
                </c:pt>
                <c:pt idx="4">
                  <c:v>-0.0454545454545455</c:v>
                </c:pt>
                <c:pt idx="5">
                  <c:v>-0.454545454545455</c:v>
                </c:pt>
              </c:numCache>
            </c:numRef>
          </c:val>
          <c:extLst>
            <c:ext xmlns:c15="http://schemas.microsoft.com/office/drawing/2012/chart" uri="{02D57815-91ED-43cb-92C2-25804820EDAC}">
              <c15:datalabelsRange>
                <c15:f>Sheet1!#REF!</c15:f>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对未来职业规划思考不足</c:v>
                </c:pt>
                <c:pt idx="2">
                  <c:v>专业不对口，就业面窄</c:v>
                </c:pt>
                <c:pt idx="3">
                  <c:v>缺乏相关实习、实践经验</c:v>
                </c:pt>
                <c:pt idx="4">
                  <c:v>专业知识与就业市场需求脱节</c:v>
                </c:pt>
                <c:pt idx="5">
                  <c:v>有工作意向，还在观望</c:v>
                </c:pt>
              </c:strCache>
            </c:strRef>
          </c:cat>
          <c:val>
            <c:numRef>
              <c:f>Sheet1!$C$2:$C$7</c:f>
              <c:numCache>
                <c:formatCode>0.00%</c:formatCode>
                <c:ptCount val="6"/>
                <c:pt idx="0">
                  <c:v>1</c:v>
                </c:pt>
                <c:pt idx="1">
                  <c:v>1</c:v>
                </c:pt>
                <c:pt idx="2">
                  <c:v>1</c:v>
                </c:pt>
                <c:pt idx="3">
                  <c:v>1</c:v>
                </c:pt>
                <c:pt idx="4">
                  <c:v>1</c:v>
                </c:pt>
                <c:pt idx="5">
                  <c:v>1</c:v>
                </c:pt>
              </c:numCache>
            </c:numRef>
          </c:val>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0.127893328568937"/>
                  <c:y val="-0.007432604689446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40454914772606"/>
                      <c:h val="0.0681409504662981"/>
                    </c:manualLayout>
                  </c15:layout>
                </c:ext>
              </c:extLst>
            </c:dLbl>
            <c:dLbl>
              <c:idx val="1"/>
              <c:layout>
                <c:manualLayout>
                  <c:x val="0.0987238141102817"/>
                  <c:y val="-0.0041279669762642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3539609920539"/>
                  <c:y val="0.004127966976264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353960992053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26414829617523"/>
                  <c:y val="-0.0041278044578793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22489766433903"/>
                      <c:h val="0.151496388028896"/>
                    </c:manualLayout>
                  </c15:layout>
                </c:ext>
              </c:extLst>
            </c:dLbl>
            <c:dLbl>
              <c:idx val="5"/>
              <c:layout>
                <c:manualLayout>
                  <c:x val="0.105947507825668"/>
                  <c:y val="-7.56785203201188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对未来职业规划思考不足</c:v>
                </c:pt>
                <c:pt idx="2">
                  <c:v>专业不对口，就业面窄</c:v>
                </c:pt>
                <c:pt idx="3">
                  <c:v>缺乏相关实习、实践经验</c:v>
                </c:pt>
                <c:pt idx="4">
                  <c:v>专业知识与就业市场需求脱节</c:v>
                </c:pt>
                <c:pt idx="5">
                  <c:v>有工作意向，还在观望</c:v>
                </c:pt>
              </c:strCache>
            </c:strRef>
          </c:cat>
          <c:val>
            <c:numRef>
              <c:f>Sheet1!$D$2:$D$7</c:f>
              <c:numCache>
                <c:formatCode>0.00%</c:formatCode>
                <c:ptCount val="6"/>
                <c:pt idx="0">
                  <c:v>0.294117647058824</c:v>
                </c:pt>
                <c:pt idx="1">
                  <c:v>0.117647058823529</c:v>
                </c:pt>
                <c:pt idx="2">
                  <c:v>0.176470588235294</c:v>
                </c:pt>
                <c:pt idx="3">
                  <c:v>0.235294117647059</c:v>
                </c:pt>
                <c:pt idx="4">
                  <c:v>0.0588235294117647</c:v>
                </c:pt>
                <c:pt idx="5">
                  <c:v>0.117647058823529</c:v>
                </c:pt>
              </c:numCache>
            </c:numRef>
          </c:val>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55731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40608096031"/>
          <c:y val="0.0333140272359572"/>
          <c:w val="0.667176549167913"/>
          <c:h val="0.865643684783305"/>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Sheet1!$A$2:$A$9</c:f>
              <c:strCache>
                <c:ptCount val="8"/>
                <c:pt idx="0">
                  <c:v>其他</c:v>
                </c:pt>
                <c:pt idx="1">
                  <c:v>党政机关</c:v>
                </c:pt>
                <c:pt idx="2">
                  <c:v>中初教育单位</c:v>
                </c:pt>
                <c:pt idx="3">
                  <c:v>其他事业单位</c:v>
                </c:pt>
                <c:pt idx="4">
                  <c:v>高等教育单位</c:v>
                </c:pt>
                <c:pt idx="5">
                  <c:v>民营企业/个体</c:v>
                </c:pt>
                <c:pt idx="6">
                  <c:v>医疗卫生单位</c:v>
                </c:pt>
                <c:pt idx="7">
                  <c:v>国有企业</c:v>
                </c:pt>
              </c:strCache>
            </c:strRef>
          </c:cat>
          <c:val>
            <c:numRef>
              <c:f>Sheet1!$B$2:$B$9</c:f>
              <c:numCache>
                <c:formatCode>0.00%</c:formatCode>
                <c:ptCount val="8"/>
                <c:pt idx="0">
                  <c:v>0.235294117647059</c:v>
                </c:pt>
                <c:pt idx="1">
                  <c:v>0.0588235294117647</c:v>
                </c:pt>
                <c:pt idx="2">
                  <c:v>0.117647058823529</c:v>
                </c:pt>
                <c:pt idx="3">
                  <c:v>0.0588235294117647</c:v>
                </c:pt>
                <c:pt idx="4">
                  <c:v>0</c:v>
                </c:pt>
                <c:pt idx="5">
                  <c:v>0</c:v>
                </c:pt>
                <c:pt idx="6">
                  <c:v>0.411764705882353</c:v>
                </c:pt>
                <c:pt idx="7">
                  <c:v>0.117647058823529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Sheet1!$A$2:$A$9</c:f>
              <c:strCache>
                <c:ptCount val="8"/>
                <c:pt idx="0">
                  <c:v>其他</c:v>
                </c:pt>
                <c:pt idx="1">
                  <c:v>党政机关</c:v>
                </c:pt>
                <c:pt idx="2">
                  <c:v>中初教育单位</c:v>
                </c:pt>
                <c:pt idx="3">
                  <c:v>其他事业单位</c:v>
                </c:pt>
                <c:pt idx="4">
                  <c:v>高等教育单位</c:v>
                </c:pt>
                <c:pt idx="5">
                  <c:v>民营企业/个体</c:v>
                </c:pt>
                <c:pt idx="6">
                  <c:v>医疗卫生单位</c:v>
                </c:pt>
                <c:pt idx="7">
                  <c:v>国有企业</c:v>
                </c:pt>
              </c:strCache>
            </c:strRef>
          </c:cat>
          <c:val>
            <c:numRef>
              <c:f>Sheet1!$C$2:$C$9</c:f>
              <c:numCache>
                <c:formatCode>0.00%</c:formatCode>
                <c:ptCount val="8"/>
                <c:pt idx="0">
                  <c:v>0.181818181818182</c:v>
                </c:pt>
                <c:pt idx="1">
                  <c:v>0.0454545454545455</c:v>
                </c:pt>
                <c:pt idx="2">
                  <c:v>0.0454545454545455</c:v>
                </c:pt>
                <c:pt idx="3">
                  <c:v>0.0454545454545455</c:v>
                </c:pt>
                <c:pt idx="4">
                  <c:v>0.0454545454545455</c:v>
                </c:pt>
                <c:pt idx="5">
                  <c:v>0.136363636363636</c:v>
                </c:pt>
                <c:pt idx="6">
                  <c:v>0.136363636363636</c:v>
                </c:pt>
                <c:pt idx="7">
                  <c:v>0.363636363636364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84219712636"/>
          <c:y val="0.18318330947268"/>
          <c:w val="0.732457108655683"/>
          <c:h val="0.784465310820105"/>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0.0987086993187223"/>
                  <c:y val="3.36496399488525e-7"/>
                </c:manualLayout>
              </c:layout>
              <c:tx>
                <c:rich>
                  <a:bodyPr rot="0" spcFirstLastPara="1" vertOverflow="ellipsis" vert="horz" wrap="square" lIns="38100" tIns="19050" rIns="38100" bIns="19050" anchor="ctr" anchorCtr="1"/>
                  <a:lstStyle/>
                  <a:p>
                    <a:fld id="{54952330-28db-4839-a1e1-74e06623806f}"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08339255427007"/>
                  <c:y val="3.36496399566872e-7"/>
                </c:manualLayout>
              </c:layout>
              <c:tx>
                <c:rich>
                  <a:bodyPr rot="0" spcFirstLastPara="1" vertOverflow="ellipsis" vert="horz" wrap="square" lIns="38100" tIns="19050" rIns="38100" bIns="19050" anchor="ctr" anchorCtr="1"/>
                  <a:lstStyle/>
                  <a:p>
                    <a:fld id="{e51b2e5c-80cf-4cb8-9129-c5d959b51618}"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130003316372457"/>
                  <c:y val="0.00427384076990376"/>
                </c:manualLayout>
              </c:layout>
              <c:tx>
                <c:rich>
                  <a:bodyPr rot="0" spcFirstLastPara="1" vertOverflow="ellipsis" vert="horz" wrap="square" lIns="38100" tIns="19050" rIns="38100" bIns="19050" anchor="ctr" anchorCtr="1"/>
                  <a:lstStyle/>
                  <a:p>
                    <a:fld id="{1438d8a1-2a66-46d0-9e72-e6645db506db}" type="VALUE">
                      <a:t>[VALUE]</a:t>
                    </a:fld>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0770527329641223"/>
                  <c:y val="0"/>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dLbl>
              <c:idx val="4"/>
              <c:layout>
                <c:manualLayout>
                  <c:x val="-0.0866843245846376"/>
                  <c:y val="7.56785203201188e-17"/>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dLbl>
              <c:idx val="5"/>
              <c:layout>
                <c:manualLayout>
                  <c:x val="-0.0915001203948953"/>
                  <c:y val="3.25036769784582e-7"/>
                </c:manualLayout>
              </c:layout>
              <c:dLblPos val="ctr"/>
              <c:showLegendKey val="0"/>
              <c:showVal val="1"/>
              <c:showCatName val="0"/>
              <c:showSerName val="0"/>
              <c:showPercent val="0"/>
              <c:showBubbleSize val="0"/>
              <c:extLst>
                <c:ext xmlns:c15="http://schemas.microsoft.com/office/drawing/2012/chart" uri="{CE6537A1-D6FC-4f65-9D91-7224C49458BB}">
                  <c15:layout/>
                  <c15:dlblFieldTable/>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求职心态</c:v>
                </c:pt>
                <c:pt idx="2">
                  <c:v>简历、面试等求职技能</c:v>
                </c:pt>
                <c:pt idx="3">
                  <c:v>职业生涯规划能力</c:v>
                </c:pt>
                <c:pt idx="4">
                  <c:v>实习实践经历</c:v>
                </c:pt>
                <c:pt idx="5">
                  <c:v>专业知识</c:v>
                </c:pt>
              </c:strCache>
            </c:strRef>
          </c:cat>
          <c:val>
            <c:numRef>
              <c:f>Sheet1!$B$2:$B$7</c:f>
              <c:numCache>
                <c:formatCode>0.00%</c:formatCode>
                <c:ptCount val="6"/>
                <c:pt idx="0">
                  <c:v>-0.136363636363636</c:v>
                </c:pt>
                <c:pt idx="1">
                  <c:v>-0.0909090909090909</c:v>
                </c:pt>
                <c:pt idx="2">
                  <c:v>-0.136363636363636</c:v>
                </c:pt>
                <c:pt idx="3">
                  <c:v>-0.136363636363636</c:v>
                </c:pt>
                <c:pt idx="4">
                  <c:v>-0.227272727272727</c:v>
                </c:pt>
                <c:pt idx="5">
                  <c:v>-0.272727272727273</c:v>
                </c:pt>
              </c:numCache>
            </c:numRef>
          </c:val>
          <c:extLst>
            <c:ext xmlns:c15="http://schemas.microsoft.com/office/drawing/2012/chart" uri="{02D57815-91ED-43cb-92C2-25804820EDAC}">
              <c15:datalabelsRange>
                <c15:f>Sheet1!#REF!</c15:f>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求职心态</c:v>
                </c:pt>
                <c:pt idx="2">
                  <c:v>简历、面试等求职技能</c:v>
                </c:pt>
                <c:pt idx="3">
                  <c:v>职业生涯规划能力</c:v>
                </c:pt>
                <c:pt idx="4">
                  <c:v>实习实践经历</c:v>
                </c:pt>
                <c:pt idx="5">
                  <c:v>专业知识</c:v>
                </c:pt>
              </c:strCache>
            </c:strRef>
          </c:cat>
          <c:val>
            <c:numRef>
              <c:f>Sheet1!$C$2:$C$7</c:f>
              <c:numCache>
                <c:formatCode>0.00%</c:formatCode>
                <c:ptCount val="6"/>
                <c:pt idx="0">
                  <c:v>1</c:v>
                </c:pt>
                <c:pt idx="1">
                  <c:v>1</c:v>
                </c:pt>
                <c:pt idx="2">
                  <c:v>1</c:v>
                </c:pt>
                <c:pt idx="3">
                  <c:v>1</c:v>
                </c:pt>
                <c:pt idx="4">
                  <c:v>1</c:v>
                </c:pt>
                <c:pt idx="5">
                  <c:v>1</c:v>
                </c:pt>
              </c:numCache>
            </c:numRef>
          </c:val>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0.0999154179464481"/>
                  <c:y val="-0.00426968921878396"/>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92318805682639"/>
                      <c:h val="0.126728586171311"/>
                    </c:manualLayout>
                  </c15:layout>
                </c:ext>
              </c:extLst>
            </c:dLbl>
            <c:dLbl>
              <c:idx val="1"/>
              <c:delete val="1"/>
            </c:dLbl>
            <c:dLbl>
              <c:idx val="2"/>
              <c:layout>
                <c:manualLayout>
                  <c:x val="0.103539609920539"/>
                  <c:y val="0.004127966976264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353960992053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26414829617523"/>
                  <c:y val="-0.0041278044578793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22489766433903"/>
                      <c:h val="0.151496388028896"/>
                    </c:manualLayout>
                  </c15:layout>
                </c:ext>
              </c:extLst>
            </c:dLbl>
            <c:dLbl>
              <c:idx val="5"/>
              <c:layout>
                <c:manualLayout>
                  <c:x val="0.12870575122124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求职心态</c:v>
                </c:pt>
                <c:pt idx="2">
                  <c:v>简历、面试等求职技能</c:v>
                </c:pt>
                <c:pt idx="3">
                  <c:v>职业生涯规划能力</c:v>
                </c:pt>
                <c:pt idx="4">
                  <c:v>实习实践经历</c:v>
                </c:pt>
                <c:pt idx="5">
                  <c:v>专业知识</c:v>
                </c:pt>
              </c:strCache>
            </c:strRef>
          </c:cat>
          <c:val>
            <c:numRef>
              <c:f>Sheet1!$D$2:$D$7</c:f>
              <c:numCache>
                <c:formatCode>0.00%</c:formatCode>
                <c:ptCount val="6"/>
                <c:pt idx="0">
                  <c:v>0.117647058823529</c:v>
                </c:pt>
                <c:pt idx="1">
                  <c:v>0</c:v>
                </c:pt>
                <c:pt idx="2">
                  <c:v>0.117647058823529</c:v>
                </c:pt>
                <c:pt idx="3">
                  <c:v>0.117647058823529</c:v>
                </c:pt>
                <c:pt idx="4">
                  <c:v>0.235294117647059</c:v>
                </c:pt>
                <c:pt idx="5">
                  <c:v>0.411764705882353</c:v>
                </c:pt>
              </c:numCache>
            </c:numRef>
          </c:val>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55731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1"/>
              </a:solidFill>
            </c:spPr>
          </c:dPt>
          <c:dPt>
            <c:idx val="1"/>
            <c:invertIfNegative val="1"/>
            <c:bubble3D val="0"/>
            <c:spPr>
              <a:solidFill>
                <a:schemeClr val="accent3"/>
              </a:solidFill>
            </c:spPr>
          </c:dPt>
          <c:dPt>
            <c:idx val="2"/>
            <c:invertIfNegative val="1"/>
            <c:bubble3D val="0"/>
            <c:spPr>
              <a:solidFill>
                <a:srgbClr val="92D050"/>
              </a:solidFill>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较多</c:v>
                </c:pt>
                <c:pt idx="1">
                  <c:v>一般</c:v>
                </c:pt>
                <c:pt idx="2">
                  <c:v>较少</c:v>
                </c:pt>
              </c:strCache>
            </c:strRef>
          </c:cat>
          <c:val>
            <c:numRef>
              <c:f>Sheet1!$B$2:$B$4</c:f>
              <c:numCache>
                <c:formatCode>0.00%</c:formatCode>
                <c:ptCount val="3"/>
                <c:pt idx="0">
                  <c:v>0.513396715643907</c:v>
                </c:pt>
                <c:pt idx="1">
                  <c:v>0.382022471910112</c:v>
                </c:pt>
                <c:pt idx="2">
                  <c:v>0.104580812445981</c:v>
                </c:pt>
              </c:numCache>
            </c:numRef>
          </c:val>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28582999724"/>
          <c:y val="0.133913032572548"/>
          <c:w val="0.725933739414649"/>
          <c:h val="0.860938582677165"/>
        </c:manualLayout>
      </c:layout>
      <c:barChart>
        <c:barDir val="bar"/>
        <c:grouping val="percentStacked"/>
        <c:varyColors val="0"/>
        <c:ser>
          <c:idx val="0"/>
          <c:order val="0"/>
          <c:tx>
            <c:strRef>
              <c:f>Sheet1!$B$1</c:f>
              <c:strCache>
                <c:ptCount val="1"/>
                <c:pt idx="0">
                  <c:v>较多</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生物工程学院</c:v>
                </c:pt>
                <c:pt idx="1">
                  <c:v>艺术学院</c:v>
                </c:pt>
                <c:pt idx="2">
                  <c:v>外国语学院</c:v>
                </c:pt>
                <c:pt idx="3">
                  <c:v>数理学院</c:v>
                </c:pt>
                <c:pt idx="4">
                  <c:v>机械工程学院</c:v>
                </c:pt>
                <c:pt idx="5">
                  <c:v>文学与传媒学院</c:v>
                </c:pt>
                <c:pt idx="6">
                  <c:v>化工与药学院</c:v>
                </c:pt>
                <c:pt idx="7">
                  <c:v>经济与管理学院</c:v>
                </c:pt>
                <c:pt idx="8">
                  <c:v>师范学院</c:v>
                </c:pt>
                <c:pt idx="9">
                  <c:v>电子信息工程学院</c:v>
                </c:pt>
                <c:pt idx="10">
                  <c:v>计算机工程学院</c:v>
                </c:pt>
                <c:pt idx="11">
                  <c:v>医学院</c:v>
                </c:pt>
              </c:strCache>
            </c:strRef>
          </c:cat>
          <c:val>
            <c:numRef>
              <c:f>Sheet1!$B$2:$B$13</c:f>
              <c:numCache>
                <c:formatCode>0.00%</c:formatCode>
                <c:ptCount val="12"/>
                <c:pt idx="0">
                  <c:v>0.295081967213115</c:v>
                </c:pt>
                <c:pt idx="1">
                  <c:v>0.323809523809524</c:v>
                </c:pt>
                <c:pt idx="2">
                  <c:v>0.329411764705882</c:v>
                </c:pt>
                <c:pt idx="3">
                  <c:v>0.380952380952381</c:v>
                </c:pt>
                <c:pt idx="4">
                  <c:v>0.431372549019608</c:v>
                </c:pt>
                <c:pt idx="5">
                  <c:v>0.451219512195122</c:v>
                </c:pt>
                <c:pt idx="6">
                  <c:v>0.457142857142857</c:v>
                </c:pt>
                <c:pt idx="7">
                  <c:v>0.536585365853659</c:v>
                </c:pt>
                <c:pt idx="8">
                  <c:v>0.559322033898305</c:v>
                </c:pt>
                <c:pt idx="9">
                  <c:v>0.657534246575342</c:v>
                </c:pt>
                <c:pt idx="10">
                  <c:v>0.68</c:v>
                </c:pt>
                <c:pt idx="11">
                  <c:v>0.756521739130435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一般</c:v>
                </c:pt>
              </c:strCache>
            </c:strRef>
          </c:tx>
          <c:spPr>
            <a:solidFill>
              <a:srgbClr val="0BD0D9"/>
            </a:solidFill>
            <a:ln>
              <a:noFill/>
            </a:ln>
            <a:effectLst/>
          </c:spPr>
          <c:invertIfNegative val="1"/>
          <c:dLbls>
            <c:dLbl>
              <c:idx val="11"/>
              <c:layout>
                <c:manualLayout>
                  <c:x val="-0.0273099681383705"/>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生物工程学院</c:v>
                </c:pt>
                <c:pt idx="1">
                  <c:v>艺术学院</c:v>
                </c:pt>
                <c:pt idx="2">
                  <c:v>外国语学院</c:v>
                </c:pt>
                <c:pt idx="3">
                  <c:v>数理学院</c:v>
                </c:pt>
                <c:pt idx="4">
                  <c:v>机械工程学院</c:v>
                </c:pt>
                <c:pt idx="5">
                  <c:v>文学与传媒学院</c:v>
                </c:pt>
                <c:pt idx="6">
                  <c:v>化工与药学院</c:v>
                </c:pt>
                <c:pt idx="7">
                  <c:v>经济与管理学院</c:v>
                </c:pt>
                <c:pt idx="8">
                  <c:v>师范学院</c:v>
                </c:pt>
                <c:pt idx="9">
                  <c:v>电子信息工程学院</c:v>
                </c:pt>
                <c:pt idx="10">
                  <c:v>计算机工程学院</c:v>
                </c:pt>
                <c:pt idx="11">
                  <c:v>医学院</c:v>
                </c:pt>
              </c:strCache>
            </c:strRef>
          </c:cat>
          <c:val>
            <c:numRef>
              <c:f>Sheet1!$C$2:$C$13</c:f>
              <c:numCache>
                <c:formatCode>0.00%</c:formatCode>
                <c:ptCount val="12"/>
                <c:pt idx="0">
                  <c:v>0.327868852459016</c:v>
                </c:pt>
                <c:pt idx="1">
                  <c:v>0.542857142857143</c:v>
                </c:pt>
                <c:pt idx="2">
                  <c:v>0.517647058823529</c:v>
                </c:pt>
                <c:pt idx="3">
                  <c:v>0.333333333333333</c:v>
                </c:pt>
                <c:pt idx="4">
                  <c:v>0.392156862745098</c:v>
                </c:pt>
                <c:pt idx="5">
                  <c:v>0.475609756097561</c:v>
                </c:pt>
                <c:pt idx="6">
                  <c:v>0.464285714285714</c:v>
                </c:pt>
                <c:pt idx="7">
                  <c:v>0.390243902439024</c:v>
                </c:pt>
                <c:pt idx="8">
                  <c:v>0.406779661016949</c:v>
                </c:pt>
                <c:pt idx="9">
                  <c:v>0.280821917808219</c:v>
                </c:pt>
                <c:pt idx="10">
                  <c:v>0.25</c:v>
                </c:pt>
                <c:pt idx="11">
                  <c:v>0.208695652173913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较少</c:v>
                </c:pt>
              </c:strCache>
            </c:strRef>
          </c:tx>
          <c:spPr>
            <a:solidFill>
              <a:srgbClr val="92D050"/>
            </a:solidFill>
            <a:ln>
              <a:noFill/>
            </a:ln>
            <a:effectLst/>
          </c:spPr>
          <c:invertIfNegative val="1"/>
          <c:dLbls>
            <c:dLbl>
              <c:idx val="8"/>
              <c:layout>
                <c:manualLayout>
                  <c:x val="-0.0159308147473828"/>
                  <c:y val="-4.8667697232675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68274920345927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45516613563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18206645425580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生物工程学院</c:v>
                </c:pt>
                <c:pt idx="1">
                  <c:v>艺术学院</c:v>
                </c:pt>
                <c:pt idx="2">
                  <c:v>外国语学院</c:v>
                </c:pt>
                <c:pt idx="3">
                  <c:v>数理学院</c:v>
                </c:pt>
                <c:pt idx="4">
                  <c:v>机械工程学院</c:v>
                </c:pt>
                <c:pt idx="5">
                  <c:v>文学与传媒学院</c:v>
                </c:pt>
                <c:pt idx="6">
                  <c:v>化工与药学院</c:v>
                </c:pt>
                <c:pt idx="7">
                  <c:v>经济与管理学院</c:v>
                </c:pt>
                <c:pt idx="8">
                  <c:v>师范学院</c:v>
                </c:pt>
                <c:pt idx="9">
                  <c:v>电子信息工程学院</c:v>
                </c:pt>
                <c:pt idx="10">
                  <c:v>计算机工程学院</c:v>
                </c:pt>
                <c:pt idx="11">
                  <c:v>医学院</c:v>
                </c:pt>
              </c:strCache>
            </c:strRef>
          </c:cat>
          <c:val>
            <c:numRef>
              <c:f>Sheet1!$D$2:$D$13</c:f>
              <c:numCache>
                <c:formatCode>0.00%</c:formatCode>
                <c:ptCount val="12"/>
                <c:pt idx="0">
                  <c:v>0.377049180327869</c:v>
                </c:pt>
                <c:pt idx="1">
                  <c:v>0.133333333333333</c:v>
                </c:pt>
                <c:pt idx="2">
                  <c:v>0.152941176470588</c:v>
                </c:pt>
                <c:pt idx="3">
                  <c:v>0.285714285714286</c:v>
                </c:pt>
                <c:pt idx="4">
                  <c:v>0.176470588235294</c:v>
                </c:pt>
                <c:pt idx="5">
                  <c:v>0.0731707317073171</c:v>
                </c:pt>
                <c:pt idx="6">
                  <c:v>0.0785714285714286</c:v>
                </c:pt>
                <c:pt idx="7">
                  <c:v>0.0731707317073171</c:v>
                </c:pt>
                <c:pt idx="8">
                  <c:v>0.0338983050847458</c:v>
                </c:pt>
                <c:pt idx="9">
                  <c:v>0.0616438356164384</c:v>
                </c:pt>
                <c:pt idx="10">
                  <c:v>0.07</c:v>
                </c:pt>
                <c:pt idx="11">
                  <c:v>0.0347826086956522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8997984"/>
        <c:crosses val="autoZero"/>
        <c:auto val="1"/>
        <c:lblAlgn val="ctr"/>
        <c:lblOffset val="100"/>
        <c:noMultiLvlLbl val="0"/>
      </c:catAx>
      <c:valAx>
        <c:axId val="608997984"/>
        <c:scaling>
          <c:orientation val="minMax"/>
          <c:min val="0"/>
        </c:scaling>
        <c:delete val="1"/>
        <c:axPos val="b"/>
        <c:numFmt formatCode="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8997592"/>
        <c:crosses val="autoZero"/>
        <c:crossBetween val="between"/>
      </c:valAx>
      <c:spPr>
        <a:noFill/>
        <a:ln>
          <a:noFill/>
        </a:ln>
        <a:effectLst/>
      </c:spPr>
    </c:plotArea>
    <c:legend>
      <c:legendPos val="b"/>
      <c:layout>
        <c:manualLayout>
          <c:xMode val="edge"/>
          <c:yMode val="edge"/>
          <c:x val="0.406195344984862"/>
          <c:y val="0.0287553140364496"/>
          <c:w val="0.346813066277163"/>
          <c:h val="0.079225906620827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3072765904262"/>
          <c:y val="0.000980588086387679"/>
          <c:w val="0.918863105967176"/>
          <c:h val="0.859043542634094"/>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dPt>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27D3B6"/>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0.186287192755498</c:v>
                </c:pt>
                <c:pt idx="1">
                  <c:v>0.200517464424321</c:v>
                </c:pt>
                <c:pt idx="2">
                  <c:v>0.340232858990944</c:v>
                </c:pt>
                <c:pt idx="3">
                  <c:v>0.226390685640362</c:v>
                </c:pt>
                <c:pt idx="4">
                  <c:v>0.0465717981888745</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3072765904262"/>
          <c:y val="0.000980588086387679"/>
          <c:w val="0.918863105967176"/>
          <c:h val="0.859043542634094"/>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2"/>
              <a:stretch>
                <a:fillRect/>
              </a:stretch>
            </a:blipFill>
          </c:spPr>
          <c:invertIfNegative val="1"/>
          <c:dPt>
            <c:idx val="0"/>
            <c:invertIfNegative val="1"/>
            <c:bubble3D val="0"/>
          </c:dPt>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Lbls>
            <c:numFmt formatCode="0.00%" sourceLinked="0"/>
            <c:spPr>
              <a:solidFill>
                <a:srgbClr val="27D3B6"/>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0.923076923076923</c:v>
                </c:pt>
                <c:pt idx="1">
                  <c:v>0.876984126984127</c:v>
                </c:pt>
                <c:pt idx="2">
                  <c:v>0.826897470039947</c:v>
                </c:pt>
                <c:pt idx="3">
                  <c:v>0.788079470198676</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人数</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1"/>
              </a:solidFill>
            </c:spPr>
          </c:dPt>
          <c:dPt>
            <c:idx val="1"/>
            <c:invertIfNegative val="1"/>
            <c:bubble3D val="0"/>
            <c:spPr>
              <a:solidFill>
                <a:schemeClr val="accent3"/>
              </a:solidFill>
            </c:spPr>
          </c:dPt>
          <c:dPt>
            <c:idx val="2"/>
            <c:invertIfNegative val="1"/>
            <c:bubble3D val="0"/>
            <c:spPr>
              <a:solidFill>
                <a:srgbClr val="92D050"/>
              </a:solidFill>
            </c:spPr>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专科毕业生</c:v>
                </c:pt>
                <c:pt idx="1">
                  <c:v>本科毕业生</c:v>
                </c:pt>
                <c:pt idx="2">
                  <c:v>总体</c:v>
                </c:pt>
              </c:strCache>
            </c:strRef>
          </c:cat>
          <c:val>
            <c:numRef>
              <c:f>Sheet1!$B$2:$B$4</c:f>
              <c:numCache>
                <c:formatCode>0.00_);[Red]\(0.00\)</c:formatCode>
                <c:ptCount val="3"/>
                <c:pt idx="0">
                  <c:v>1760</c:v>
                </c:pt>
                <c:pt idx="1">
                  <c:v>2888</c:v>
                </c:pt>
                <c:pt idx="2">
                  <c:v>4648</c:v>
                </c:pt>
              </c:numCache>
            </c:numRef>
          </c:val>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651783990217"/>
          <c:y val="0.0317955119372282"/>
          <c:w val="0.532967702947213"/>
          <c:h val="0.871951500744033"/>
        </c:manualLayout>
      </c:layout>
      <c:barChart>
        <c:barDir val="bar"/>
        <c:grouping val="clustered"/>
        <c:varyColors val="0"/>
        <c:ser>
          <c:idx val="0"/>
          <c:order val="0"/>
          <c:tx>
            <c:strRef>
              <c:f>Sheet1!$B$1</c:f>
              <c:strCache>
                <c:ptCount val="1"/>
                <c:pt idx="0">
                  <c:v>满意度</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pictureOptions>
            <c:pictureFormat val="stack"/>
          </c:pictureOptions>
          <c:dPt>
            <c:idx val="0"/>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ictureOptions>
              <c:pictureFormat val="stack"/>
            </c:pictureOptions>
          </c:dPt>
          <c:dPt>
            <c:idx val="1"/>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ictureOptions>
              <c:pictureFormat val="stack"/>
            </c:pictureOptions>
          </c:dPt>
          <c:dPt>
            <c:idx val="2"/>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ictureOptions>
              <c:pictureFormat val="stack"/>
            </c:pictureOptions>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Sheet1!$A$2:$A$10</c:f>
              <c:strCache>
                <c:ptCount val="9"/>
                <c:pt idx="0">
                  <c:v>制造业</c:v>
                </c:pt>
                <c:pt idx="1">
                  <c:v>教育</c:v>
                </c:pt>
                <c:pt idx="2">
                  <c:v>卫生和社会工作</c:v>
                </c:pt>
                <c:pt idx="3">
                  <c:v>文化、体育和娱乐业</c:v>
                </c:pt>
                <c:pt idx="4">
                  <c:v>信息传输、软件和信息技术服务业</c:v>
                </c:pt>
                <c:pt idx="5">
                  <c:v>批发和零售业</c:v>
                </c:pt>
                <c:pt idx="6">
                  <c:v>科学研究和技术服务业</c:v>
                </c:pt>
                <c:pt idx="7">
                  <c:v>电力、热力、燃气及水生产和供应业</c:v>
                </c:pt>
                <c:pt idx="8">
                  <c:v>公共管理、社会保障和社会组织</c:v>
                </c:pt>
              </c:strCache>
            </c:strRef>
          </c:cat>
          <c:val>
            <c:numRef>
              <c:f>Sheet1!$B$2:$B$10</c:f>
              <c:numCache>
                <c:formatCode>0.00%</c:formatCode>
                <c:ptCount val="9"/>
                <c:pt idx="0">
                  <c:v>0.891472868217054</c:v>
                </c:pt>
                <c:pt idx="1">
                  <c:v>0.913793103448276</c:v>
                </c:pt>
                <c:pt idx="2">
                  <c:v>0.927710843373494</c:v>
                </c:pt>
                <c:pt idx="3">
                  <c:v>0.941176470588235</c:v>
                </c:pt>
                <c:pt idx="4">
                  <c:v>0.946236559139785</c:v>
                </c:pt>
                <c:pt idx="5">
                  <c:v>0.955555555555556</c:v>
                </c:pt>
                <c:pt idx="6">
                  <c:v>0.966666666666667</c:v>
                </c:pt>
                <c:pt idx="7">
                  <c:v>0.966666666666667</c:v>
                </c:pt>
                <c:pt idx="8">
                  <c:v>1</c:v>
                </c:pt>
              </c:numCache>
            </c:numRef>
          </c:val>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4152048"/>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3072765904262"/>
          <c:y val="0.000980588086387679"/>
          <c:w val="0.918863105967176"/>
          <c:h val="0.859043542634094"/>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dPt>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27D3B6"/>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0.120893561103811</c:v>
                </c:pt>
                <c:pt idx="1">
                  <c:v>0.248357424441524</c:v>
                </c:pt>
                <c:pt idx="2">
                  <c:v>0.47568988173456</c:v>
                </c:pt>
                <c:pt idx="3">
                  <c:v>0.144546649145861</c:v>
                </c:pt>
                <c:pt idx="4">
                  <c:v>0.0105124835742444</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291410080382"/>
          <c:y val="0.198654709445723"/>
          <c:w val="0.431572592016884"/>
          <c:h val="0.672755492719374"/>
        </c:manualLayout>
      </c:layout>
      <c:pie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323791920494552"/>
                  <c:y val="0.032781911435382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42077061285449"/>
                  <c:y val="0.094361461698021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664356672920509"/>
                  <c:y val="0.0165301080969701"/>
                </c:manualLayout>
              </c:layout>
              <c:tx>
                <c:rich>
                  <a:bodyPr rot="0" spcFirstLastPara="1" vertOverflow="clip" vert="horz" wrap="square" lIns="36576" tIns="18288" rIns="36576" bIns="18288" anchor="ctr" anchorCtr="1"/>
                  <a:lstStyle/>
                  <a:p>
                    <a:fld id="{c8346144-316d-4556-8cfe-4e896bbc4822}" type="CATEGORYNAME">
                      <a:t>[CATEGORY NAME]</a:t>
                    </a:fld>
                    <a:r>
                      <a:t>,</a:t>
                    </a:r>
                    <a:fld id="{bb6ab7c0-087c-4c01-94d4-b33a3e4f4dad}"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56511123851237"/>
                  <c:y val="0.0047170007894852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6642838511841"/>
                      <c:h val="0.216748227572471"/>
                    </c:manualLayout>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0.816526610644258</c:v>
                </c:pt>
                <c:pt idx="1">
                  <c:v>0.15266106442577</c:v>
                </c:pt>
                <c:pt idx="2">
                  <c:v>0.0210084033613445</c:v>
                </c:pt>
                <c:pt idx="3">
                  <c:v>0.00980392156862745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8962290730608"/>
          <c:y val="0.0676640419947507"/>
          <c:w val="0.878482929746776"/>
          <c:h val="0.802582819641183"/>
        </c:manualLayout>
      </c:layout>
      <c:lineChart>
        <c:grouping val="standard"/>
        <c:varyColors val="0"/>
        <c:ser>
          <c:idx val="0"/>
          <c:order val="0"/>
          <c:tx>
            <c:strRef>
              <c:f>Sheet1!$B$1</c:f>
              <c:strCache>
                <c:ptCount val="1"/>
                <c:pt idx="0">
                  <c:v>薪酬</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Pt>
            <c:idx val="4"/>
            <c:marker>
              <c:symbol val="diamond"/>
              <c:size val="5"/>
              <c:spPr>
                <a:solidFill>
                  <a:schemeClr val="bg1"/>
                </a:solidFill>
                <a:ln w="9525">
                  <a:solidFill>
                    <a:schemeClr val="accent1"/>
                  </a:solidFill>
                </a:ln>
                <a:effectLst/>
              </c:spPr>
            </c:marker>
            <c:bubble3D val="0"/>
            <c:spPr>
              <a:ln w="28575" cap="rnd">
                <a:solidFill>
                  <a:schemeClr val="accent1"/>
                </a:solidFill>
                <a:round/>
              </a:ln>
              <a:effectLst/>
            </c:spPr>
          </c:dPt>
          <c:dLbls>
            <c:dLbl>
              <c:idx val="0"/>
              <c:layout>
                <c:manualLayout>
                  <c:x val="-0.0569805892907455"/>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01946508098917"/>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44198288773235"/>
                  <c:y val="-0.03547824964502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01067663152276"/>
                  <c:y val="-0.06826513489092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2001到3500元</c:v>
                </c:pt>
                <c:pt idx="2">
                  <c:v>3501到5000元</c:v>
                </c:pt>
                <c:pt idx="3">
                  <c:v>5001到6500元</c:v>
                </c:pt>
                <c:pt idx="4">
                  <c:v>6501到8000元</c:v>
                </c:pt>
                <c:pt idx="5">
                  <c:v>8001元及以上</c:v>
                </c:pt>
              </c:strCache>
            </c:strRef>
          </c:cat>
          <c:val>
            <c:numRef>
              <c:f>Sheet1!$B$2:$B$7</c:f>
              <c:numCache>
                <c:formatCode>0.00%</c:formatCode>
                <c:ptCount val="6"/>
                <c:pt idx="0">
                  <c:v>0.0601</c:v>
                </c:pt>
                <c:pt idx="1">
                  <c:v>0.2072</c:v>
                </c:pt>
                <c:pt idx="2">
                  <c:v>0.4233</c:v>
                </c:pt>
                <c:pt idx="3">
                  <c:v>0.1445</c:v>
                </c:pt>
                <c:pt idx="4">
                  <c:v>0.1023</c:v>
                </c:pt>
                <c:pt idx="5">
                  <c:v>0.0627</c:v>
                </c:pt>
              </c:numCache>
            </c:numRef>
          </c:val>
          <c:smooth val="1"/>
        </c:ser>
        <c:dLbls>
          <c:showLegendKey val="0"/>
          <c:showVal val="1"/>
          <c:showCatName val="0"/>
          <c:showSerName val="0"/>
          <c:showPercent val="0"/>
          <c:showBubbleSize val="0"/>
        </c:dLbls>
        <c:marker val="1"/>
        <c:smooth val="1"/>
        <c:axId val="605060192"/>
        <c:axId val="1087560512"/>
      </c:lineChart>
      <c:catAx>
        <c:axId val="605060192"/>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087560512"/>
        <c:crosses val="autoZero"/>
        <c:auto val="1"/>
        <c:lblAlgn val="ctr"/>
        <c:lblOffset val="100"/>
        <c:noMultiLvlLbl val="0"/>
      </c:catAx>
      <c:valAx>
        <c:axId val="1087560512"/>
        <c:scaling>
          <c:orientation val="minMax"/>
          <c:max val="1"/>
        </c:scaling>
        <c:delete val="0"/>
        <c:axPos val="l"/>
        <c:numFmt formatCode="0.0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5060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38534653939"/>
          <c:y val="0.0290290891366722"/>
          <c:w val="0.610915420337737"/>
          <c:h val="0.895855715068163"/>
        </c:manualLayout>
      </c:layout>
      <c:barChart>
        <c:barDir val="bar"/>
        <c:grouping val="clustered"/>
        <c:varyColors val="0"/>
        <c:ser>
          <c:idx val="0"/>
          <c:order val="0"/>
          <c:tx>
            <c:strRef>
              <c:f>Sheet1!$B$1</c:f>
              <c:strCache>
                <c:ptCount val="1"/>
                <c:pt idx="0">
                  <c:v>薪酬均值</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2"/>
                <a:stretch>
                  <a:fillRect/>
                </a:stretch>
              </a:blipFill>
              <a:ln>
                <a:noFill/>
              </a:ln>
              <a:effectLst/>
            </c:spPr>
            <c:pictureOptions>
              <c:pictureFormat val="stack"/>
            </c:pictureOptions>
          </c:dPt>
          <c:dPt>
            <c:idx val="1"/>
            <c:invertIfNegative val="0"/>
            <c:bubble3D val="0"/>
            <c:spPr>
              <a:blipFill>
                <a:blip xmlns:r="http://schemas.openxmlformats.org/officeDocument/2006/relationships" r:embed="rId2"/>
                <a:stretch>
                  <a:fillRect/>
                </a:stretch>
              </a:blipFill>
              <a:ln>
                <a:noFill/>
              </a:ln>
              <a:effectLst/>
            </c:spPr>
            <c:pictureOptions>
              <c:pictureFormat val="stack"/>
            </c:pictureOptions>
          </c:dPt>
          <c:dPt>
            <c:idx val="2"/>
            <c:invertIfNegative val="0"/>
            <c:bubble3D val="0"/>
            <c:spPr>
              <a:blipFill>
                <a:blip xmlns:r="http://schemas.openxmlformats.org/officeDocument/2006/relationships" r:embed="rId2"/>
                <a:stretch>
                  <a:fillRect/>
                </a:stretch>
              </a:blipFill>
              <a:ln>
                <a:noFill/>
              </a:ln>
              <a:effectLst/>
            </c:spPr>
            <c:pictureOptions>
              <c:pictureFormat val="stack"/>
            </c:pictureOptions>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Sheet1!$A$2:$A$12</c:f>
              <c:strCache>
                <c:ptCount val="11"/>
                <c:pt idx="0">
                  <c:v>师范学院</c:v>
                </c:pt>
                <c:pt idx="1">
                  <c:v>医学院</c:v>
                </c:pt>
                <c:pt idx="2">
                  <c:v>经济与管理学院</c:v>
                </c:pt>
                <c:pt idx="3">
                  <c:v>生物工程学院</c:v>
                </c:pt>
                <c:pt idx="4">
                  <c:v>艺术学院</c:v>
                </c:pt>
                <c:pt idx="5">
                  <c:v>外国语学院</c:v>
                </c:pt>
                <c:pt idx="6">
                  <c:v>化工与药学院</c:v>
                </c:pt>
                <c:pt idx="7">
                  <c:v>文学与传媒学院</c:v>
                </c:pt>
                <c:pt idx="8">
                  <c:v>机械工程学院</c:v>
                </c:pt>
                <c:pt idx="9">
                  <c:v>电子信息工程学院</c:v>
                </c:pt>
                <c:pt idx="10">
                  <c:v>计算机工程学院</c:v>
                </c:pt>
              </c:strCache>
            </c:strRef>
          </c:cat>
          <c:val>
            <c:numRef>
              <c:f>Sheet1!$B$2:$B$12</c:f>
              <c:numCache>
                <c:formatCode>0.00_ </c:formatCode>
                <c:ptCount val="11"/>
                <c:pt idx="0">
                  <c:v>3828.26</c:v>
                </c:pt>
                <c:pt idx="1">
                  <c:v>3976.95</c:v>
                </c:pt>
                <c:pt idx="2">
                  <c:v>4503.07</c:v>
                </c:pt>
                <c:pt idx="3">
                  <c:v>4513.79</c:v>
                </c:pt>
                <c:pt idx="4">
                  <c:v>4673.65</c:v>
                </c:pt>
                <c:pt idx="5">
                  <c:v>4827.35</c:v>
                </c:pt>
                <c:pt idx="6">
                  <c:v>4897.1</c:v>
                </c:pt>
                <c:pt idx="7">
                  <c:v>4922.58</c:v>
                </c:pt>
                <c:pt idx="8">
                  <c:v>5508.23</c:v>
                </c:pt>
                <c:pt idx="9">
                  <c:v>5615.31</c:v>
                </c:pt>
                <c:pt idx="10">
                  <c:v>6784.89</c:v>
                </c:pt>
              </c:numCache>
            </c:numRef>
          </c:val>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4152440"/>
        <c:crosses val="autoZero"/>
        <c:auto val="1"/>
        <c:lblAlgn val="ctr"/>
        <c:lblOffset val="100"/>
        <c:noMultiLvlLbl val="0"/>
      </c:catAx>
      <c:valAx>
        <c:axId val="464152440"/>
        <c:scaling>
          <c:orientation val="minMax"/>
          <c:max val="10000"/>
          <c:min val="0"/>
        </c:scaling>
        <c:delete val="0"/>
        <c:axPos val="b"/>
        <c:numFmt formatCode="0.00_);[Red]\(0.0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4152048"/>
        <c:crosses val="autoZero"/>
        <c:crossBetween val="between"/>
        <c:minorUnit val="2000"/>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1"/>
              </a:solidFill>
            </c:spPr>
          </c:dPt>
          <c:dPt>
            <c:idx val="1"/>
            <c:invertIfNegative val="1"/>
            <c:bubble3D val="0"/>
            <c:spPr>
              <a:solidFill>
                <a:schemeClr val="accent3"/>
              </a:solidFill>
            </c:spPr>
          </c:dPt>
          <c:dPt>
            <c:idx val="2"/>
            <c:invertIfNegative val="1"/>
            <c:bubble3D val="0"/>
            <c:spPr>
              <a:solidFill>
                <a:srgbClr val="92D050"/>
              </a:solidFill>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较多</c:v>
                </c:pt>
                <c:pt idx="1">
                  <c:v>一般</c:v>
                </c:pt>
                <c:pt idx="2">
                  <c:v>较少</c:v>
                </c:pt>
              </c:strCache>
            </c:strRef>
          </c:cat>
          <c:val>
            <c:numRef>
              <c:f>Sheet1!$B$2:$B$4</c:f>
              <c:numCache>
                <c:formatCode>0.00%</c:formatCode>
                <c:ptCount val="3"/>
                <c:pt idx="0">
                  <c:v>0.511811023622047</c:v>
                </c:pt>
                <c:pt idx="1">
                  <c:v>0.399606299212598</c:v>
                </c:pt>
                <c:pt idx="2">
                  <c:v>0.0885826771653543</c:v>
                </c:pt>
              </c:numCache>
            </c:numRef>
          </c:val>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492475422821"/>
          <c:y val="0.133913032572548"/>
          <c:w val="0.762347008626653"/>
          <c:h val="0.860938582677165"/>
        </c:manualLayout>
      </c:layout>
      <c:barChart>
        <c:barDir val="bar"/>
        <c:grouping val="percentStacked"/>
        <c:varyColors val="0"/>
        <c:ser>
          <c:idx val="0"/>
          <c:order val="0"/>
          <c:tx>
            <c:strRef>
              <c:f>Sheet1!$B$1</c:f>
              <c:strCache>
                <c:ptCount val="1"/>
                <c:pt idx="0">
                  <c:v>较多</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生物工程学院</c:v>
                </c:pt>
                <c:pt idx="1">
                  <c:v>文学与传媒学院</c:v>
                </c:pt>
                <c:pt idx="2">
                  <c:v>电子信息工程学院</c:v>
                </c:pt>
                <c:pt idx="3">
                  <c:v>计算机工程学院</c:v>
                </c:pt>
                <c:pt idx="4">
                  <c:v>医学院</c:v>
                </c:pt>
                <c:pt idx="5">
                  <c:v>师范学院</c:v>
                </c:pt>
                <c:pt idx="6">
                  <c:v>化工与药学院</c:v>
                </c:pt>
              </c:strCache>
            </c:strRef>
          </c:cat>
          <c:val>
            <c:numRef>
              <c:f>Sheet1!$B$2:$B$8</c:f>
              <c:numCache>
                <c:formatCode>0.00%</c:formatCode>
                <c:ptCount val="7"/>
                <c:pt idx="0">
                  <c:v>0.142857142857143</c:v>
                </c:pt>
                <c:pt idx="1">
                  <c:v>0.261904761904762</c:v>
                </c:pt>
                <c:pt idx="2">
                  <c:v>0.379310344827586</c:v>
                </c:pt>
                <c:pt idx="3">
                  <c:v>0.446808510638298</c:v>
                </c:pt>
                <c:pt idx="4">
                  <c:v>0.570921985815603</c:v>
                </c:pt>
                <c:pt idx="5">
                  <c:v>0.607843137254902</c:v>
                </c:pt>
                <c:pt idx="6">
                  <c:v>0.846153846153846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一般</c:v>
                </c:pt>
              </c:strCache>
            </c:strRef>
          </c:tx>
          <c:spPr>
            <a:solidFill>
              <a:srgbClr val="0BD0D9"/>
            </a:solidFill>
            <a:ln>
              <a:noFill/>
            </a:ln>
            <a:effectLst/>
          </c:spPr>
          <c:invertIfNegative val="1"/>
          <c:dLbls>
            <c:dLbl>
              <c:idx val="6"/>
              <c:layout>
                <c:manualLayout>
                  <c:x val="-0.02958579881656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生物工程学院</c:v>
                </c:pt>
                <c:pt idx="1">
                  <c:v>文学与传媒学院</c:v>
                </c:pt>
                <c:pt idx="2">
                  <c:v>电子信息工程学院</c:v>
                </c:pt>
                <c:pt idx="3">
                  <c:v>计算机工程学院</c:v>
                </c:pt>
                <c:pt idx="4">
                  <c:v>医学院</c:v>
                </c:pt>
                <c:pt idx="5">
                  <c:v>师范学院</c:v>
                </c:pt>
                <c:pt idx="6">
                  <c:v>化工与药学院</c:v>
                </c:pt>
              </c:strCache>
            </c:strRef>
          </c:cat>
          <c:val>
            <c:numRef>
              <c:f>Sheet1!$C$2:$C$8</c:f>
              <c:numCache>
                <c:formatCode>0.00%</c:formatCode>
                <c:ptCount val="7"/>
                <c:pt idx="0">
                  <c:v>0.642857142857143</c:v>
                </c:pt>
                <c:pt idx="1">
                  <c:v>0.595238095238095</c:v>
                </c:pt>
                <c:pt idx="2">
                  <c:v>0.517241379310345</c:v>
                </c:pt>
                <c:pt idx="3">
                  <c:v>0.51063829787234</c:v>
                </c:pt>
                <c:pt idx="4">
                  <c:v>0.336879432624113</c:v>
                </c:pt>
                <c:pt idx="5">
                  <c:v>0.352941176470588</c:v>
                </c:pt>
                <c:pt idx="6">
                  <c:v>0.153846153846154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较少</c:v>
                </c:pt>
              </c:strCache>
            </c:strRef>
          </c:tx>
          <c:spPr>
            <a:solidFill>
              <a:srgbClr val="92D050"/>
            </a:solidFill>
            <a:ln>
              <a:noFill/>
            </a:ln>
            <a:effectLst/>
          </c:spPr>
          <c:invertIfNegative val="1"/>
          <c:dLbls>
            <c:dLbl>
              <c:idx val="3"/>
              <c:layout>
                <c:manualLayout>
                  <c:x val="-0.0159308147473828"/>
                  <c:y val="-9.73353944653506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0482476103777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delete val="1"/>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生物工程学院</c:v>
                </c:pt>
                <c:pt idx="1">
                  <c:v>文学与传媒学院</c:v>
                </c:pt>
                <c:pt idx="2">
                  <c:v>电子信息工程学院</c:v>
                </c:pt>
                <c:pt idx="3">
                  <c:v>计算机工程学院</c:v>
                </c:pt>
                <c:pt idx="4">
                  <c:v>医学院</c:v>
                </c:pt>
                <c:pt idx="5">
                  <c:v>师范学院</c:v>
                </c:pt>
                <c:pt idx="6">
                  <c:v>化工与药学院</c:v>
                </c:pt>
              </c:strCache>
            </c:strRef>
          </c:cat>
          <c:val>
            <c:numRef>
              <c:f>Sheet1!$D$2:$D$8</c:f>
              <c:numCache>
                <c:formatCode>0.00%</c:formatCode>
                <c:ptCount val="7"/>
                <c:pt idx="0">
                  <c:v>0.214285714285714</c:v>
                </c:pt>
                <c:pt idx="1">
                  <c:v>0.142857142857143</c:v>
                </c:pt>
                <c:pt idx="2">
                  <c:v>0.103448275862069</c:v>
                </c:pt>
                <c:pt idx="3">
                  <c:v>0.0425531914893617</c:v>
                </c:pt>
                <c:pt idx="4">
                  <c:v>0.0921985815602837</c:v>
                </c:pt>
                <c:pt idx="5">
                  <c:v>0.0392156862745098</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8997984"/>
        <c:crosses val="autoZero"/>
        <c:auto val="1"/>
        <c:lblAlgn val="ctr"/>
        <c:lblOffset val="100"/>
        <c:noMultiLvlLbl val="0"/>
      </c:catAx>
      <c:valAx>
        <c:axId val="608997984"/>
        <c:scaling>
          <c:orientation val="minMax"/>
          <c:min val="0"/>
        </c:scaling>
        <c:delete val="1"/>
        <c:axPos val="b"/>
        <c:numFmt formatCode="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8997592"/>
        <c:crosses val="autoZero"/>
        <c:crossBetween val="between"/>
      </c:valAx>
      <c:spPr>
        <a:noFill/>
        <a:ln>
          <a:noFill/>
        </a:ln>
        <a:effectLst/>
      </c:spPr>
    </c:plotArea>
    <c:legend>
      <c:legendPos val="b"/>
      <c:layout>
        <c:manualLayout>
          <c:xMode val="edge"/>
          <c:yMode val="edge"/>
          <c:x val="0.406195344984862"/>
          <c:y val="0.0287553140364496"/>
          <c:w val="0.346813066277163"/>
          <c:h val="0.079225906620827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3072765904262"/>
          <c:y val="0.000980588086387679"/>
          <c:w val="0.918863105967176"/>
          <c:h val="0.859043542634094"/>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dPt>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27D3B6"/>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0.330357142857143</c:v>
                </c:pt>
                <c:pt idx="1">
                  <c:v>0.303571428571429</c:v>
                </c:pt>
                <c:pt idx="2">
                  <c:v>0.200892857142857</c:v>
                </c:pt>
                <c:pt idx="3">
                  <c:v>0.129464285714286</c:v>
                </c:pt>
                <c:pt idx="4">
                  <c:v>0.0357142857142857</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3072765904262"/>
          <c:y val="0.000980588086387679"/>
          <c:w val="0.918863105967176"/>
          <c:h val="0.859043542634094"/>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2"/>
              <a:stretch>
                <a:fillRect/>
              </a:stretch>
            </a:blipFill>
          </c:spPr>
          <c:invertIfNegative val="1"/>
          <c:dPt>
            <c:idx val="0"/>
            <c:invertIfNegative val="1"/>
            <c:bubble3D val="0"/>
          </c:dPt>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Lbls>
            <c:numFmt formatCode="0.00%" sourceLinked="0"/>
            <c:spPr>
              <a:solidFill>
                <a:srgbClr val="27D3B6"/>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工作总体</c:v>
                </c:pt>
                <c:pt idx="1">
                  <c:v>职业前景</c:v>
                </c:pt>
                <c:pt idx="2">
                  <c:v>工作内容</c:v>
                </c:pt>
                <c:pt idx="3">
                  <c:v>工作薪酬</c:v>
                </c:pt>
              </c:strCache>
            </c:strRef>
          </c:cat>
          <c:val>
            <c:numRef>
              <c:f>Sheet1!$B$2:$B$5</c:f>
              <c:numCache>
                <c:formatCode>0.00%</c:formatCode>
                <c:ptCount val="4"/>
                <c:pt idx="0">
                  <c:v>0.917431192660551</c:v>
                </c:pt>
                <c:pt idx="1">
                  <c:v>0.887323943661972</c:v>
                </c:pt>
                <c:pt idx="2">
                  <c:v>0.885844748858447</c:v>
                </c:pt>
                <c:pt idx="3">
                  <c:v>0.703703703703704</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17328366741"/>
          <c:y val="0.0317955119372282"/>
          <c:w val="0.696902210994117"/>
          <c:h val="0.871951500744033"/>
        </c:manualLayout>
      </c:layout>
      <c:barChart>
        <c:barDir val="bar"/>
        <c:grouping val="clustered"/>
        <c:varyColors val="0"/>
        <c:ser>
          <c:idx val="0"/>
          <c:order val="0"/>
          <c:tx>
            <c:strRef>
              <c:f>Sheet1!$B$1</c:f>
              <c:strCache>
                <c:ptCount val="1"/>
                <c:pt idx="0">
                  <c:v>满意度</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pictureOptions>
            <c:pictureFormat val="stack"/>
          </c:pictureOptions>
          <c:dPt>
            <c:idx val="0"/>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ictureOptions>
              <c:pictureFormat val="stack"/>
            </c:pictureOptions>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Sheet1!$A$2:$A$2</c:f>
              <c:strCache>
                <c:ptCount val="1"/>
                <c:pt idx="0">
                  <c:v>卫生和社会工作</c:v>
                </c:pt>
              </c:strCache>
            </c:strRef>
          </c:cat>
          <c:val>
            <c:numRef>
              <c:f>Sheet1!$B$2:$B$2</c:f>
              <c:numCache>
                <c:formatCode>0.00%</c:formatCode>
                <c:ptCount val="1"/>
                <c:pt idx="0">
                  <c:v>0.91875</c:v>
                </c:pt>
              </c:numCache>
            </c:numRef>
          </c:val>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4152048"/>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82818972273"/>
          <c:y val="0.184363728727457"/>
          <c:w val="0.372345163015761"/>
          <c:h val="0.760304800609601"/>
        </c:manualLayout>
      </c:layout>
      <c:doughnut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271698113207547"/>
                  <c:y val="-0.0430101882425987"/>
                </c:manualLayout>
              </c:layout>
              <c:showLegendKey val="0"/>
              <c:showVal val="1"/>
              <c:showCatName val="1"/>
              <c:showSerName val="0"/>
              <c:showPercent val="0"/>
              <c:showBubbleSize val="0"/>
              <c:extLst>
                <c:ext xmlns:c15="http://schemas.microsoft.com/office/drawing/2012/chart" uri="{CE6537A1-D6FC-4f65-9D91-7224C49458BB}">
                  <c15:layout>
                    <c:manualLayout>
                      <c:w val="0.311949685534591"/>
                      <c:h val="0.295376626308808"/>
                    </c:manualLayout>
                  </c15:layout>
                </c:ext>
              </c:extLst>
            </c:dLbl>
            <c:dLbl>
              <c:idx val="1"/>
              <c:layout>
                <c:manualLayout>
                  <c:x val="-0.226713327500729"/>
                  <c:y val="-0.0752685349815144"/>
                </c:manualLayout>
              </c:layout>
              <c:showLegendKey val="0"/>
              <c:showVal val="1"/>
              <c:showCatName val="1"/>
              <c:showSerName val="0"/>
              <c:showPercent val="0"/>
              <c:showBubbleSize val="0"/>
              <c:extLst>
                <c:ext xmlns:c15="http://schemas.microsoft.com/office/drawing/2012/chart" uri="{CE6537A1-D6FC-4f65-9D91-7224C49458BB}">
                  <c15:layout>
                    <c:manualLayout>
                      <c:w val="0.210724528312318"/>
                      <c:h val="0.388566590466514"/>
                    </c:manualLayout>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专科毕业生</c:v>
                </c:pt>
                <c:pt idx="1">
                  <c:v>本科毕业生</c:v>
                </c:pt>
              </c:strCache>
            </c:strRef>
          </c:cat>
          <c:val>
            <c:numRef>
              <c:f>Sheet1!$B$2:$B$3</c:f>
              <c:numCache>
                <c:formatCode>0.00%</c:formatCode>
                <c:ptCount val="2"/>
                <c:pt idx="0">
                  <c:v>0.378657487091222</c:v>
                </c:pt>
                <c:pt idx="1">
                  <c:v>0.621342512908778</c:v>
                </c:pt>
              </c:numCache>
            </c:numRef>
          </c:val>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3072765904262"/>
          <c:y val="0.0754961746802926"/>
          <c:w val="0.918863105967176"/>
          <c:h val="0.781029206455576"/>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dPt>
          <c:dPt>
            <c:idx val="1"/>
            <c:invertIfNegative val="1"/>
            <c:bubble3D val="0"/>
            <c:spPr>
              <a:blipFill>
                <a:blip xmlns:r="http://schemas.openxmlformats.org/officeDocument/2006/relationships" r:embed="rId3"/>
                <a:stretch>
                  <a:fillRect/>
                </a:stretch>
              </a:blipFill>
            </c:spPr>
          </c:dPt>
          <c:dPt>
            <c:idx val="2"/>
            <c:invertIfNegative val="1"/>
            <c:bubble3D val="0"/>
            <c:spPr>
              <a:blipFill>
                <a:blip xmlns:r="http://schemas.openxmlformats.org/officeDocument/2006/relationships" r:embed="rId4"/>
                <a:stretch>
                  <a:fillRect/>
                </a:stretch>
              </a:blipFill>
            </c:spPr>
          </c:dPt>
          <c:dPt>
            <c:idx val="3"/>
            <c:invertIfNegative val="1"/>
            <c:bubble3D val="0"/>
            <c:spPr>
              <a:blipFill>
                <a:blip xmlns:r="http://schemas.openxmlformats.org/officeDocument/2006/relationships" r:embed="rId5"/>
                <a:stretch>
                  <a:fillRect/>
                </a:stretch>
              </a:blipFill>
            </c:spPr>
          </c:dPt>
          <c:dPt>
            <c:idx val="4"/>
            <c:invertIfNegative val="1"/>
            <c:bubble3D val="0"/>
            <c:spPr>
              <a:blipFill>
                <a:blip xmlns:r="http://schemas.openxmlformats.org/officeDocument/2006/relationships" r:embed="rId6"/>
                <a:stretch>
                  <a:fillRect/>
                </a:stretch>
              </a:blipFill>
            </c:spPr>
          </c:dPt>
          <c:dLbls>
            <c:numFmt formatCode="0.00%" sourceLinked="0"/>
            <c:spPr>
              <a:solidFill>
                <a:srgbClr val="27D3B6"/>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0.182648401826484</c:v>
                </c:pt>
                <c:pt idx="1">
                  <c:v>0.242009132420091</c:v>
                </c:pt>
                <c:pt idx="2">
                  <c:v>0.461187214611872</c:v>
                </c:pt>
                <c:pt idx="3">
                  <c:v>0.0730593607305936</c:v>
                </c:pt>
                <c:pt idx="4">
                  <c:v>0.0410958904109589</c:v>
                </c:pt>
              </c:numCache>
            </c:numRef>
          </c:val>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291410080382"/>
          <c:y val="0.199840249326632"/>
          <c:w val="0.39121600779284"/>
          <c:h val="0.733293773060976"/>
        </c:manualLayout>
      </c:layout>
      <c:pieChart>
        <c:varyColors val="1"/>
        <c:ser>
          <c:idx val="0"/>
          <c:order val="0"/>
          <c:tx>
            <c:strRef>
              <c:f>Sheet1!$B$1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3237911627026"/>
                  <c:y val="0.10063935828246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373925051868937"/>
                  <c:y val="0.031451894201298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28943859737392"/>
                  <c:y val="-0.00699229110122703"/>
                </c:manualLayout>
              </c:layout>
              <c:tx>
                <c:rich>
                  <a:bodyPr rot="0" spcFirstLastPara="1" vertOverflow="clip" vert="horz" wrap="square" lIns="36576" tIns="18288" rIns="36576" bIns="18288" anchor="ctr" anchorCtr="1"/>
                  <a:lstStyle/>
                  <a:p>
                    <a:fld id="{7142124e-9c0d-424f-b5b6-99bf4e4d444f}" type="CATEGORYNAME">
                      <a:t>[CATEGORY NAME]</a:t>
                    </a:fld>
                    <a:r>
                      <a:t>,</a:t>
                    </a:r>
                    <a:fld id="{4ddee592-9cee-4f0c-9e14-86ca7216c778}" type="VALUE">
                      <a:t>[VALUE]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565111238512371"/>
                  <c:y val="0.034120184518219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6642838511841"/>
                      <c:h val="0.216748227572471"/>
                    </c:manualLayout>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0.829383886255924</c:v>
                </c:pt>
                <c:pt idx="1">
                  <c:v>0.127962085308057</c:v>
                </c:pt>
                <c:pt idx="2">
                  <c:v>0.033175355450237</c:v>
                </c:pt>
                <c:pt idx="3">
                  <c:v>0.00947867298578199</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8962290730608"/>
          <c:y val="0.0676640419947507"/>
          <c:w val="0.878482929746776"/>
          <c:h val="0.802582819641183"/>
        </c:manualLayout>
      </c:layout>
      <c:lineChart>
        <c:grouping val="standard"/>
        <c:varyColors val="0"/>
        <c:ser>
          <c:idx val="0"/>
          <c:order val="0"/>
          <c:tx>
            <c:strRef>
              <c:f>Sheet1!$B$1</c:f>
              <c:strCache>
                <c:ptCount val="1"/>
                <c:pt idx="0">
                  <c:v>薪酬</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Pt>
            <c:idx val="4"/>
            <c:marker>
              <c:symbol val="diamond"/>
              <c:size val="5"/>
              <c:spPr>
                <a:solidFill>
                  <a:schemeClr val="bg1"/>
                </a:solidFill>
                <a:ln w="9525">
                  <a:solidFill>
                    <a:schemeClr val="accent1"/>
                  </a:solidFill>
                </a:ln>
                <a:effectLst/>
              </c:spPr>
            </c:marker>
            <c:bubble3D val="0"/>
            <c:spPr>
              <a:ln w="28575" cap="rnd">
                <a:solidFill>
                  <a:schemeClr val="accent1"/>
                </a:solidFill>
                <a:round/>
              </a:ln>
              <a:effectLst/>
            </c:spPr>
          </c:dPt>
          <c:dLbls>
            <c:dLbl>
              <c:idx val="0"/>
              <c:layout>
                <c:manualLayout>
                  <c:x val="-0.0569805892907455"/>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01946508098917"/>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44198288773235"/>
                  <c:y val="-0.03547824964502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01067663152276"/>
                  <c:y val="-0.06826513489092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10001元及以上</c:v>
                </c:pt>
                <c:pt idx="1">
                  <c:v>2000元及以下</c:v>
                </c:pt>
                <c:pt idx="2">
                  <c:v>2001到4000元</c:v>
                </c:pt>
                <c:pt idx="3">
                  <c:v>4001到6000元</c:v>
                </c:pt>
                <c:pt idx="4">
                  <c:v>6001到8000元</c:v>
                </c:pt>
              </c:strCache>
            </c:strRef>
          </c:cat>
          <c:val>
            <c:numRef>
              <c:f>Sheet1!$B$2:$B$6</c:f>
              <c:numCache>
                <c:formatCode>0.00%</c:formatCode>
                <c:ptCount val="5"/>
                <c:pt idx="0">
                  <c:v>0.013</c:v>
                </c:pt>
                <c:pt idx="1">
                  <c:v>0.3826</c:v>
                </c:pt>
                <c:pt idx="2">
                  <c:v>0.4565</c:v>
                </c:pt>
                <c:pt idx="3">
                  <c:v>0.1217</c:v>
                </c:pt>
                <c:pt idx="4">
                  <c:v>0.0261</c:v>
                </c:pt>
              </c:numCache>
            </c:numRef>
          </c:val>
          <c:smooth val="1"/>
        </c:ser>
        <c:dLbls>
          <c:showLegendKey val="0"/>
          <c:showVal val="1"/>
          <c:showCatName val="0"/>
          <c:showSerName val="0"/>
          <c:showPercent val="0"/>
          <c:showBubbleSize val="0"/>
        </c:dLbls>
        <c:marker val="1"/>
        <c:smooth val="1"/>
        <c:axId val="605060192"/>
        <c:axId val="1087560512"/>
      </c:lineChart>
      <c:catAx>
        <c:axId val="605060192"/>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087560512"/>
        <c:crosses val="autoZero"/>
        <c:auto val="1"/>
        <c:lblAlgn val="ctr"/>
        <c:lblOffset val="100"/>
        <c:noMultiLvlLbl val="0"/>
      </c:catAx>
      <c:valAx>
        <c:axId val="1087560512"/>
        <c:scaling>
          <c:orientation val="minMax"/>
          <c:max val="1"/>
        </c:scaling>
        <c:delete val="0"/>
        <c:axPos val="l"/>
        <c:numFmt formatCode="0.0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5060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86284033772887"/>
          <c:y val="0.000980813227223603"/>
          <c:w val="0.800722162178041"/>
          <c:h val="0.853455411096869"/>
        </c:manualLayout>
      </c:layout>
      <c:barChart>
        <c:barDir val="col"/>
        <c:grouping val="clustered"/>
        <c:varyColors val="0"/>
        <c:ser>
          <c:idx val="0"/>
          <c:order val="0"/>
          <c:tx>
            <c:strRef>
              <c:f>Sheet1!$B$1</c:f>
              <c:strCache>
                <c:ptCount val="1"/>
                <c:pt idx="0">
                  <c:v>2019届</c:v>
                </c:pt>
              </c:strCache>
            </c:strRef>
          </c:tx>
          <c:spPr>
            <a:solidFill>
              <a:srgbClr val="0F6FC6"/>
            </a:solidFill>
            <a:ln>
              <a:noFill/>
            </a:ln>
            <a:effectLst/>
          </c:spPr>
          <c:invertIfNegative val="1"/>
          <c:dPt>
            <c:idx val="0"/>
            <c:invertIfNegative val="1"/>
            <c:bubble3D val="0"/>
            <c:spPr>
              <a:solidFill>
                <a:srgbClr val="0F6FC6"/>
              </a:solidFill>
              <a:ln>
                <a:noFill/>
              </a:ln>
              <a:effectLst/>
            </c:spPr>
          </c:dPt>
          <c:dPt>
            <c:idx val="1"/>
            <c:invertIfNegative val="1"/>
            <c:bubble3D val="0"/>
            <c:spPr>
              <a:solidFill>
                <a:srgbClr val="0F6FC6"/>
              </a:solidFill>
              <a:ln>
                <a:noFill/>
              </a:ln>
              <a:effectLst/>
            </c:spPr>
          </c:dPt>
          <c:dPt>
            <c:idx val="2"/>
            <c:invertIfNegative val="1"/>
            <c:bubble3D val="0"/>
            <c:spPr>
              <a:solidFill>
                <a:srgbClr val="0F6FC6"/>
              </a:solidFill>
              <a:ln>
                <a:noFill/>
              </a:ln>
              <a:effectLst/>
            </c:spPr>
          </c:dPt>
          <c:dLbls>
            <c:dLbl>
              <c:idx val="0"/>
              <c:layout>
                <c:manualLayout>
                  <c:x val="-0.01768261587622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6923076923076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2820512820512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本科毕业生</c:v>
                </c:pt>
                <c:pt idx="1">
                  <c:v>专科毕业生</c:v>
                </c:pt>
                <c:pt idx="2">
                  <c:v>总体</c:v>
                </c:pt>
              </c:strCache>
            </c:strRef>
          </c:cat>
          <c:val>
            <c:numRef>
              <c:f>Sheet1!$B$2:$B$4</c:f>
              <c:numCache>
                <c:formatCode>0_);[Red]\(0\)</c:formatCode>
                <c:ptCount val="3"/>
                <c:pt idx="0">
                  <c:v>2310</c:v>
                </c:pt>
                <c:pt idx="1">
                  <c:v>958</c:v>
                </c:pt>
                <c:pt idx="2">
                  <c:v>3268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2020届</c:v>
                </c:pt>
              </c:strCache>
            </c:strRef>
          </c:tx>
          <c:spPr>
            <a:solidFill>
              <a:srgbClr val="0BD0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本科毕业生</c:v>
                </c:pt>
                <c:pt idx="1">
                  <c:v>专科毕业生</c:v>
                </c:pt>
                <c:pt idx="2">
                  <c:v>总体</c:v>
                </c:pt>
              </c:strCache>
            </c:strRef>
          </c:cat>
          <c:val>
            <c:numRef>
              <c:f>Sheet1!$C$2:$C$4</c:f>
              <c:numCache>
                <c:formatCode>General</c:formatCode>
                <c:ptCount val="3"/>
                <c:pt idx="0">
                  <c:v>2488</c:v>
                </c:pt>
                <c:pt idx="1">
                  <c:v>1651</c:v>
                </c:pt>
                <c:pt idx="2">
                  <c:v>4139</c:v>
                </c:pt>
              </c:numCache>
            </c:numRef>
          </c:val>
        </c:ser>
        <c:ser>
          <c:idx val="2"/>
          <c:order val="2"/>
          <c:tx>
            <c:strRef>
              <c:f>Sheet1!$D$1</c:f>
              <c:strCache>
                <c:ptCount val="1"/>
                <c:pt idx="0">
                  <c:v>2021届</c:v>
                </c:pt>
              </c:strCache>
            </c:strRef>
          </c:tx>
          <c:spPr>
            <a:solidFill>
              <a:srgbClr val="92D050"/>
            </a:solidFill>
            <a:ln>
              <a:noFill/>
            </a:ln>
            <a:effectLst/>
          </c:spPr>
          <c:invertIfNegative val="0"/>
          <c:dLbls>
            <c:dLbl>
              <c:idx val="0"/>
              <c:layout>
                <c:manualLayout>
                  <c:x val="0.0205128205128205"/>
                  <c:y val="-0.007575757575757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6923076923077"/>
                  <c:y val="6.9443642225563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79042070608226"/>
                  <c:y val="-0.00620155038759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本科毕业生</c:v>
                </c:pt>
                <c:pt idx="1">
                  <c:v>专科毕业生</c:v>
                </c:pt>
                <c:pt idx="2">
                  <c:v>总体</c:v>
                </c:pt>
              </c:strCache>
            </c:strRef>
          </c:cat>
          <c:val>
            <c:numRef>
              <c:f>Sheet1!$D$2:$D$4</c:f>
              <c:numCache>
                <c:formatCode>General</c:formatCode>
                <c:ptCount val="3"/>
                <c:pt idx="0">
                  <c:v>2888</c:v>
                </c:pt>
                <c:pt idx="1">
                  <c:v>1760</c:v>
                </c:pt>
                <c:pt idx="2">
                  <c:v>4648</c:v>
                </c:pt>
              </c:numCache>
            </c:numRef>
          </c:val>
        </c:ser>
        <c:dLbls>
          <c:showLegendKey val="0"/>
          <c:showVal val="0"/>
          <c:showCatName val="0"/>
          <c:showSerName val="0"/>
          <c:showPercent val="0"/>
          <c:showBubbleSize val="0"/>
        </c:dLbls>
        <c:gapWidth val="269"/>
        <c:overlap val="-1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5"/>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p>
        </c:txPr>
        <c:crossAx val="1384677232"/>
        <c:crosses val="autoZero"/>
        <c:auto val="1"/>
        <c:lblAlgn val="ctr"/>
        <c:lblOffset val="100"/>
        <c:noMultiLvlLbl val="0"/>
      </c:catAx>
      <c:valAx>
        <c:axId val="1384677232"/>
        <c:scaling>
          <c:orientation val="minMax"/>
          <c:max val="8000"/>
        </c:scaling>
        <c:delete val="1"/>
        <c:axPos val="l"/>
        <c:numFmt formatCode="0_);[Red]\(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ea"/>
                <a:ea typeface="+mn-ea"/>
                <a:cs typeface="+mn-cs"/>
              </a:defRPr>
            </a:pPr>
          </a:p>
        </c:txPr>
        <c:crossAx val="1384676840"/>
        <c:crosses val="autoZero"/>
        <c:crossBetween val="between"/>
      </c:valAx>
      <c:spPr>
        <a:solidFill>
          <a:schemeClr val="bg1"/>
        </a:solidFill>
        <a:ln w="25346">
          <a:noFill/>
        </a:ln>
        <a:effectLst/>
      </c:spPr>
    </c:plotArea>
    <c:legend>
      <c:legendPos val="r"/>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585987350866"/>
          <c:y val="0.0451129863747111"/>
          <c:w val="0.775561346423826"/>
          <c:h val="0.458843136411227"/>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0"/>
          <c:dLbls>
            <c:delete val="1"/>
          </c:dLbls>
          <c:cat>
            <c:strRef>
              <c:f>Sheet1!$A$2:$A$4</c:f>
              <c:strCache>
                <c:ptCount val="3"/>
                <c:pt idx="0">
                  <c:v>2019届</c:v>
                </c:pt>
                <c:pt idx="1">
                  <c:v>2020届</c:v>
                </c:pt>
                <c:pt idx="2">
                  <c:v>2021届</c:v>
                </c:pt>
              </c:strCache>
            </c:strRef>
          </c:cat>
          <c:val>
            <c:numRef>
              <c:f>Sheet1!$B$2:$B$4</c:f>
              <c:numCache>
                <c:formatCode>0.00%</c:formatCode>
                <c:ptCount val="3"/>
                <c:pt idx="0">
                  <c:v>0.9508</c:v>
                </c:pt>
                <c:pt idx="1">
                  <c:v>0.8525</c:v>
                </c:pt>
                <c:pt idx="2">
                  <c:v>0.8954</c:v>
                </c:pt>
              </c:numCache>
            </c:numRef>
          </c:val>
        </c:ser>
        <c:ser>
          <c:idx val="1"/>
          <c:order val="1"/>
          <c:tx>
            <c:strRef>
              <c:f>Sheet1!$C$1</c:f>
              <c:strCache>
                <c:ptCount val="1"/>
                <c:pt idx="0">
                  <c:v>专科毕业生</c:v>
                </c:pt>
              </c:strCache>
            </c:strRef>
          </c:tx>
          <c:spPr>
            <a:solidFill>
              <a:srgbClr val="0BD0D9"/>
            </a:solidFill>
            <a:ln>
              <a:noFill/>
            </a:ln>
            <a:effectLst/>
          </c:spPr>
          <c:invertIfNegative val="0"/>
          <c:dLbls>
            <c:delete val="1"/>
          </c:dLbls>
          <c:cat>
            <c:strRef>
              <c:f>Sheet1!$A$2:$A$4</c:f>
              <c:strCache>
                <c:ptCount val="3"/>
                <c:pt idx="0">
                  <c:v>2019届</c:v>
                </c:pt>
                <c:pt idx="1">
                  <c:v>2020届</c:v>
                </c:pt>
                <c:pt idx="2">
                  <c:v>2021届</c:v>
                </c:pt>
              </c:strCache>
            </c:strRef>
          </c:cat>
          <c:val>
            <c:numRef>
              <c:f>Sheet1!$C$2:$C$4</c:f>
              <c:numCache>
                <c:formatCode>0.00%</c:formatCode>
                <c:ptCount val="3"/>
                <c:pt idx="0">
                  <c:v>0.9432</c:v>
                </c:pt>
                <c:pt idx="1">
                  <c:v>0.8783</c:v>
                </c:pt>
                <c:pt idx="2">
                  <c:v>0.9261</c:v>
                </c:pt>
              </c:numCache>
            </c:numRef>
          </c:val>
        </c:ser>
        <c:ser>
          <c:idx val="2"/>
          <c:order val="2"/>
          <c:tx>
            <c:strRef>
              <c:f>Sheet1!$D$1</c:f>
              <c:strCache>
                <c:ptCount val="1"/>
                <c:pt idx="0">
                  <c:v>总体</c:v>
                </c:pt>
              </c:strCache>
            </c:strRef>
          </c:tx>
          <c:spPr>
            <a:solidFill>
              <a:srgbClr val="92D050"/>
            </a:solidFill>
            <a:ln>
              <a:noFill/>
            </a:ln>
            <a:effectLst/>
          </c:spPr>
          <c:invertIfNegative val="0"/>
          <c:dLbls>
            <c:delete val="1"/>
          </c:dLbls>
          <c:cat>
            <c:strRef>
              <c:f>Sheet1!$A$2:$A$4</c:f>
              <c:strCache>
                <c:ptCount val="3"/>
                <c:pt idx="0">
                  <c:v>2019届</c:v>
                </c:pt>
                <c:pt idx="1">
                  <c:v>2020届</c:v>
                </c:pt>
                <c:pt idx="2">
                  <c:v>2021届</c:v>
                </c:pt>
              </c:strCache>
            </c:strRef>
          </c:cat>
          <c:val>
            <c:numRef>
              <c:f>Sheet1!$D$2:$D$4</c:f>
              <c:numCache>
                <c:formatCode>0.00%</c:formatCode>
                <c:ptCount val="3"/>
                <c:pt idx="0">
                  <c:v>0.9483</c:v>
                </c:pt>
                <c:pt idx="1">
                  <c:v>0.8628</c:v>
                </c:pt>
                <c:pt idx="2">
                  <c:v>0.9071</c:v>
                </c:pt>
              </c:numCache>
            </c:numRef>
          </c:val>
        </c:ser>
        <c:dLbls>
          <c:showLegendKey val="0"/>
          <c:showVal val="0"/>
          <c:showCatName val="0"/>
          <c:showSerName val="0"/>
          <c:showPercent val="0"/>
          <c:showBubbleSize val="0"/>
        </c:dLbls>
        <c:gapWidth val="219"/>
        <c:overlap val="-27"/>
        <c:axId val="823676400"/>
        <c:axId val="823695440"/>
      </c:barChart>
      <c:catAx>
        <c:axId val="823676400"/>
        <c:scaling>
          <c:orientation val="minMax"/>
        </c:scaling>
        <c:delete val="0"/>
        <c:axPos val="b"/>
        <c:numFmt formatCode="General" sourceLinked="1"/>
        <c:majorTickMark val="out"/>
        <c:minorTickMark val="none"/>
        <c:tickLblPos val="nextTo"/>
        <c:spPr>
          <a:noFill/>
          <a:ln w="19050" cap="flat" cmpd="sng" algn="ctr">
            <a:solidFill>
              <a:schemeClr val="accent5"/>
            </a:solidFill>
            <a:round/>
          </a:ln>
          <a:effectLst/>
        </c:spPr>
        <c:txPr>
          <a:bodyPr rot="-60000000" spcFirstLastPara="1" vertOverflow="ellipsis" vert="horz" wrap="square" anchor="ctr" anchorCtr="1"/>
          <a:lstStyle/>
          <a:p>
            <a:pPr>
              <a:defRPr lang="zh-CN" sz="900" b="0" i="0" u="none" strike="noStrike" kern="1200" baseline="0">
                <a:solidFill>
                  <a:schemeClr val="accent5"/>
                </a:solidFill>
                <a:latin typeface="+mn-lt"/>
                <a:ea typeface="+mn-ea"/>
                <a:cs typeface="+mn-cs"/>
              </a:defRPr>
            </a:pPr>
          </a:p>
        </c:txPr>
        <c:crossAx val="823695440"/>
        <c:crosses val="autoZero"/>
        <c:auto val="1"/>
        <c:lblAlgn val="ctr"/>
        <c:lblOffset val="100"/>
        <c:noMultiLvlLbl val="0"/>
      </c:catAx>
      <c:valAx>
        <c:axId val="823695440"/>
        <c:scaling>
          <c:orientation val="minMax"/>
          <c:max val="1"/>
          <c:min val="0.5"/>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76400"/>
        <c:crosses val="autoZero"/>
        <c:crossBetween val="between"/>
        <c:majorUnit val="0.1"/>
      </c:valAx>
      <c:dTable>
        <c:showHorzBorder val="1"/>
        <c:showVertBorder val="1"/>
        <c:showOutline val="1"/>
        <c:showKeys val="1"/>
        <c:spPr>
          <a:noFill/>
          <a:ln w="15875" cap="flat" cmpd="sng" algn="ctr">
            <a:solidFill>
              <a:schemeClr val="accent1"/>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1587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40841233578"/>
          <c:y val="0.0411914929803535"/>
          <c:w val="0.833989229981676"/>
          <c:h val="0.504553004111071"/>
        </c:manualLayout>
      </c:layout>
      <c:barChart>
        <c:barDir val="col"/>
        <c:grouping val="clustered"/>
        <c:varyColors val="0"/>
        <c:ser>
          <c:idx val="0"/>
          <c:order val="0"/>
          <c:tx>
            <c:strRef>
              <c:f>Sheet1!$B$1</c:f>
              <c:strCache>
                <c:ptCount val="1"/>
                <c:pt idx="0">
                  <c:v>2019届</c:v>
                </c:pt>
              </c:strCache>
            </c:strRef>
          </c:tx>
          <c:spPr>
            <a:solidFill>
              <a:srgbClr val="0F6FC6"/>
            </a:solidFill>
            <a:ln>
              <a:noFill/>
            </a:ln>
            <a:effectLst/>
          </c:spPr>
          <c:invertIfNegative val="0"/>
          <c:dLbls>
            <c:delete val="1"/>
          </c:dLbls>
          <c:cat>
            <c:strRef>
              <c:f>Sheet1!$A$2</c:f>
              <c:strCache>
                <c:ptCount val="1"/>
                <c:pt idx="0">
                  <c:v>总体省内就业</c:v>
                </c:pt>
              </c:strCache>
            </c:strRef>
          </c:cat>
          <c:val>
            <c:numRef>
              <c:f>Sheet1!$B$2</c:f>
              <c:numCache>
                <c:formatCode>0.00%</c:formatCode>
                <c:ptCount val="1"/>
                <c:pt idx="0">
                  <c:v>0.5604</c:v>
                </c:pt>
              </c:numCache>
            </c:numRef>
          </c:val>
        </c:ser>
        <c:ser>
          <c:idx val="1"/>
          <c:order val="1"/>
          <c:tx>
            <c:strRef>
              <c:f>Sheet1!$C$1</c:f>
              <c:strCache>
                <c:ptCount val="1"/>
                <c:pt idx="0">
                  <c:v>2020届</c:v>
                </c:pt>
              </c:strCache>
            </c:strRef>
          </c:tx>
          <c:spPr>
            <a:solidFill>
              <a:srgbClr val="0BD0D9"/>
            </a:solidFill>
            <a:ln>
              <a:noFill/>
            </a:ln>
            <a:effectLst/>
          </c:spPr>
          <c:invertIfNegative val="0"/>
          <c:dLbls>
            <c:delete val="1"/>
          </c:dLbls>
          <c:cat>
            <c:strRef>
              <c:f>Sheet1!$A$2</c:f>
              <c:strCache>
                <c:ptCount val="1"/>
                <c:pt idx="0">
                  <c:v>总体省内就业</c:v>
                </c:pt>
              </c:strCache>
            </c:strRef>
          </c:cat>
          <c:val>
            <c:numRef>
              <c:f>Sheet1!$C$2</c:f>
              <c:numCache>
                <c:formatCode>0.00%</c:formatCode>
                <c:ptCount val="1"/>
                <c:pt idx="0">
                  <c:v>0.5233</c:v>
                </c:pt>
              </c:numCache>
            </c:numRef>
          </c:val>
        </c:ser>
        <c:ser>
          <c:idx val="2"/>
          <c:order val="2"/>
          <c:tx>
            <c:strRef>
              <c:f>Sheet1!$D$1</c:f>
              <c:strCache>
                <c:ptCount val="1"/>
                <c:pt idx="0">
                  <c:v>2021届</c:v>
                </c:pt>
              </c:strCache>
            </c:strRef>
          </c:tx>
          <c:spPr>
            <a:solidFill>
              <a:srgbClr val="92D050"/>
            </a:solidFill>
            <a:ln>
              <a:noFill/>
            </a:ln>
            <a:effectLst/>
          </c:spPr>
          <c:invertIfNegative val="0"/>
          <c:dLbls>
            <c:delete val="1"/>
          </c:dLbls>
          <c:cat>
            <c:strRef>
              <c:f>Sheet1!$A$2</c:f>
              <c:strCache>
                <c:ptCount val="1"/>
                <c:pt idx="0">
                  <c:v>总体省内就业</c:v>
                </c:pt>
              </c:strCache>
            </c:strRef>
          </c:cat>
          <c:val>
            <c:numRef>
              <c:f>Sheet1!$D$2</c:f>
              <c:numCache>
                <c:formatCode>0.00%</c:formatCode>
                <c:ptCount val="1"/>
                <c:pt idx="0">
                  <c:v>0.5736</c:v>
                </c:pt>
              </c:numCache>
            </c:numRef>
          </c:val>
        </c:ser>
        <c:dLbls>
          <c:showLegendKey val="0"/>
          <c:showVal val="0"/>
          <c:showCatName val="0"/>
          <c:showSerName val="0"/>
          <c:showPercent val="0"/>
          <c:showBubbleSize val="0"/>
        </c:dLbls>
        <c:gapWidth val="219"/>
        <c:overlap val="-15"/>
        <c:axId val="823689280"/>
        <c:axId val="823661280"/>
      </c:barChart>
      <c:catAx>
        <c:axId val="823689280"/>
        <c:scaling>
          <c:orientation val="minMax"/>
        </c:scaling>
        <c:delete val="0"/>
        <c:axPos val="b"/>
        <c:numFmt formatCode="General" sourceLinked="1"/>
        <c:majorTickMark val="in"/>
        <c:minorTickMark val="none"/>
        <c:tickLblPos val="nextTo"/>
        <c:spPr>
          <a:noFill/>
          <a:ln w="9525" cap="flat" cmpd="sng" algn="ctr">
            <a:solidFill>
              <a:schemeClr val="accent3"/>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23661280"/>
        <c:crosses val="autoZero"/>
        <c:auto val="1"/>
        <c:lblAlgn val="ctr"/>
        <c:lblOffset val="100"/>
        <c:noMultiLvlLbl val="0"/>
      </c:catAx>
      <c:valAx>
        <c:axId val="823661280"/>
        <c:scaling>
          <c:orientation val="minMax"/>
        </c:scaling>
        <c:delete val="0"/>
        <c:axPos val="l"/>
        <c:numFmt formatCode="0.00%" sourceLinked="1"/>
        <c:majorTickMark val="in"/>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23689280"/>
        <c:crosses val="autoZero"/>
        <c:crossBetween val="between"/>
        <c:majorUnit val="0.1"/>
      </c:valAx>
      <c:dTable>
        <c:showHorzBorder val="1"/>
        <c:showVertBorder val="1"/>
        <c:showOutline val="1"/>
        <c:showKeys val="1"/>
        <c:spPr>
          <a:noFill/>
          <a:ln w="15875" cap="flat" cmpd="sng" algn="ctr">
            <a:solidFill>
              <a:srgbClr val="0070C0"/>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40605861767279"/>
          <c:y val="0.033748200829735"/>
          <c:w val="0.867235710119568"/>
          <c:h val="0.467411251012978"/>
        </c:manualLayout>
      </c:layout>
      <c:barChart>
        <c:barDir val="col"/>
        <c:grouping val="clustered"/>
        <c:varyColors val="0"/>
        <c:ser>
          <c:idx val="0"/>
          <c:order val="0"/>
          <c:tx>
            <c:strRef>
              <c:f>Sheet1!$B$1</c:f>
              <c:strCache>
                <c:ptCount val="1"/>
                <c:pt idx="0">
                  <c:v>2019届</c:v>
                </c:pt>
              </c:strCache>
            </c:strRef>
          </c:tx>
          <c:spPr>
            <a:solidFill>
              <a:srgbClr val="0F6FC6"/>
            </a:solidFill>
            <a:ln>
              <a:noFill/>
            </a:ln>
            <a:effectLst/>
          </c:spPr>
          <c:invertIfNegative val="0"/>
          <c:dLbls>
            <c:delete val="1"/>
          </c:dLbls>
          <c:cat>
            <c:strRef>
              <c:f>Sheet1!$A$2:$A$5</c:f>
              <c:strCache>
                <c:ptCount val="4"/>
                <c:pt idx="0">
                  <c:v>教育</c:v>
                </c:pt>
                <c:pt idx="1">
                  <c:v>居民服务、修理和其他服务业</c:v>
                </c:pt>
                <c:pt idx="2">
                  <c:v>信息传输、软件和信息技术服务业</c:v>
                </c:pt>
                <c:pt idx="3">
                  <c:v>文化、体育和娱乐业</c:v>
                </c:pt>
              </c:strCache>
            </c:strRef>
          </c:cat>
          <c:val>
            <c:numRef>
              <c:f>Sheet1!$B$2:$B$5</c:f>
              <c:numCache>
                <c:formatCode>0.00%</c:formatCode>
                <c:ptCount val="4"/>
                <c:pt idx="0">
                  <c:v>0.2006</c:v>
                </c:pt>
                <c:pt idx="1">
                  <c:v>0.0383</c:v>
                </c:pt>
                <c:pt idx="2">
                  <c:v>0.1051</c:v>
                </c:pt>
                <c:pt idx="3">
                  <c:v>0.0581</c:v>
                </c:pt>
              </c:numCache>
            </c:numRef>
          </c:val>
        </c:ser>
        <c:ser>
          <c:idx val="1"/>
          <c:order val="1"/>
          <c:tx>
            <c:strRef>
              <c:f>Sheet1!$C$1</c:f>
              <c:strCache>
                <c:ptCount val="1"/>
                <c:pt idx="0">
                  <c:v>2020届</c:v>
                </c:pt>
              </c:strCache>
            </c:strRef>
          </c:tx>
          <c:spPr>
            <a:solidFill>
              <a:srgbClr val="0BD0D9"/>
            </a:solidFill>
            <a:ln>
              <a:noFill/>
            </a:ln>
            <a:effectLst/>
          </c:spPr>
          <c:invertIfNegative val="0"/>
          <c:dLbls>
            <c:delete val="1"/>
          </c:dLbls>
          <c:cat>
            <c:strRef>
              <c:f>Sheet1!$A$2:$A$5</c:f>
              <c:strCache>
                <c:ptCount val="4"/>
                <c:pt idx="0">
                  <c:v>教育</c:v>
                </c:pt>
                <c:pt idx="1">
                  <c:v>居民服务、修理和其他服务业</c:v>
                </c:pt>
                <c:pt idx="2">
                  <c:v>信息传输、软件和信息技术服务业</c:v>
                </c:pt>
                <c:pt idx="3">
                  <c:v>文化、体育和娱乐业</c:v>
                </c:pt>
              </c:strCache>
            </c:strRef>
          </c:cat>
          <c:val>
            <c:numRef>
              <c:f>Sheet1!$C$2:$C$5</c:f>
              <c:numCache>
                <c:formatCode>0.00%</c:formatCode>
                <c:ptCount val="4"/>
                <c:pt idx="0">
                  <c:v>0.2359</c:v>
                </c:pt>
                <c:pt idx="1">
                  <c:v>0.0223</c:v>
                </c:pt>
                <c:pt idx="2">
                  <c:v>0.0824</c:v>
                </c:pt>
                <c:pt idx="3">
                  <c:v>0.0386</c:v>
                </c:pt>
              </c:numCache>
            </c:numRef>
          </c:val>
        </c:ser>
        <c:ser>
          <c:idx val="2"/>
          <c:order val="2"/>
          <c:tx>
            <c:strRef>
              <c:f>Sheet1!$D$1</c:f>
              <c:strCache>
                <c:ptCount val="1"/>
                <c:pt idx="0">
                  <c:v>2021届</c:v>
                </c:pt>
              </c:strCache>
            </c:strRef>
          </c:tx>
          <c:spPr>
            <a:solidFill>
              <a:srgbClr val="92D050"/>
            </a:solidFill>
            <a:ln>
              <a:noFill/>
            </a:ln>
            <a:effectLst/>
          </c:spPr>
          <c:invertIfNegative val="0"/>
          <c:dLbls>
            <c:delete val="1"/>
          </c:dLbls>
          <c:cat>
            <c:strRef>
              <c:f>Sheet1!$A$2:$A$5</c:f>
              <c:strCache>
                <c:ptCount val="4"/>
                <c:pt idx="0">
                  <c:v>教育</c:v>
                </c:pt>
                <c:pt idx="1">
                  <c:v>居民服务、修理和其他服务业</c:v>
                </c:pt>
                <c:pt idx="2">
                  <c:v>信息传输、软件和信息技术服务业</c:v>
                </c:pt>
                <c:pt idx="3">
                  <c:v>文化、体育和娱乐业</c:v>
                </c:pt>
              </c:strCache>
            </c:strRef>
          </c:cat>
          <c:val>
            <c:numRef>
              <c:f>Sheet1!$D$2:$D$5</c:f>
              <c:numCache>
                <c:formatCode>0.00%</c:formatCode>
                <c:ptCount val="4"/>
                <c:pt idx="0">
                  <c:v>0.1898</c:v>
                </c:pt>
                <c:pt idx="1">
                  <c:v>0.0252</c:v>
                </c:pt>
                <c:pt idx="2">
                  <c:v>0.0848</c:v>
                </c:pt>
                <c:pt idx="3">
                  <c:v>0.0479</c:v>
                </c:pt>
              </c:numCache>
            </c:numRef>
          </c:val>
        </c:ser>
        <c:dLbls>
          <c:showLegendKey val="0"/>
          <c:showVal val="0"/>
          <c:showCatName val="0"/>
          <c:showSerName val="0"/>
          <c:showPercent val="0"/>
          <c:showBubbleSize val="0"/>
        </c:dLbls>
        <c:gapWidth val="182"/>
        <c:overlap val="-10"/>
        <c:axId val="823679760"/>
        <c:axId val="823674160"/>
      </c:barChart>
      <c:catAx>
        <c:axId val="823679760"/>
        <c:scaling>
          <c:orientation val="minMax"/>
        </c:scaling>
        <c:delete val="0"/>
        <c:axPos val="b"/>
        <c:numFmt formatCode="General" sourceLinked="1"/>
        <c:majorTickMark val="out"/>
        <c:minorTickMark val="none"/>
        <c:tickLblPos val="nextTo"/>
        <c:spPr>
          <a:noFill/>
          <a:ln w="15875" cap="flat" cmpd="sng" algn="ctr">
            <a:solidFill>
              <a:srgbClr val="0070C0"/>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74160"/>
        <c:crosses val="autoZero"/>
        <c:auto val="1"/>
        <c:lblAlgn val="ctr"/>
        <c:lblOffset val="100"/>
        <c:noMultiLvlLbl val="0"/>
      </c:catAx>
      <c:valAx>
        <c:axId val="823674160"/>
        <c:scaling>
          <c:orientation val="minMax"/>
          <c:max val="0.25"/>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79760"/>
        <c:crosses val="autoZero"/>
        <c:crossBetween val="between"/>
        <c:majorUnit val="0.05"/>
      </c:valAx>
      <c:dTable>
        <c:showHorzBorder val="1"/>
        <c:showVertBorder val="1"/>
        <c:showOutline val="1"/>
        <c:showKeys val="1"/>
        <c:spPr>
          <a:noFill/>
          <a:ln w="15875" cap="flat" cmpd="sng" algn="ctr">
            <a:solidFill>
              <a:srgbClr val="0070C0"/>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873208156673"/>
          <c:y val="0.0263431162013839"/>
          <c:w val="0.712800121138704"/>
          <c:h val="0.973656864320531"/>
        </c:manualLayout>
      </c:layout>
      <c:barChart>
        <c:barDir val="bar"/>
        <c:grouping val="clustered"/>
        <c:varyColors val="0"/>
        <c:ser>
          <c:idx val="0"/>
          <c:order val="0"/>
          <c:tx>
            <c:strRef>
              <c:f>Sheet1!$B$1</c:f>
              <c:strCache>
                <c:ptCount val="1"/>
                <c:pt idx="0">
                  <c:v>2021届</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三资企业</c:v>
                </c:pt>
                <c:pt idx="1">
                  <c:v>高等教育单位</c:v>
                </c:pt>
                <c:pt idx="2">
                  <c:v>机关</c:v>
                </c:pt>
                <c:pt idx="3">
                  <c:v>其他事业单位</c:v>
                </c:pt>
                <c:pt idx="4">
                  <c:v>国有企业</c:v>
                </c:pt>
                <c:pt idx="5">
                  <c:v>中初教育单位</c:v>
                </c:pt>
                <c:pt idx="6">
                  <c:v>其他企业</c:v>
                </c:pt>
              </c:strCache>
            </c:strRef>
          </c:cat>
          <c:val>
            <c:numRef>
              <c:f>Sheet1!$B$2:$B$8</c:f>
              <c:numCache>
                <c:formatCode>0.00%</c:formatCode>
                <c:ptCount val="7"/>
                <c:pt idx="0">
                  <c:v>0.0052</c:v>
                </c:pt>
                <c:pt idx="1">
                  <c:v>0.0015</c:v>
                </c:pt>
                <c:pt idx="2">
                  <c:v>0.0098</c:v>
                </c:pt>
                <c:pt idx="3">
                  <c:v>0.0264</c:v>
                </c:pt>
                <c:pt idx="4">
                  <c:v>0.0438</c:v>
                </c:pt>
                <c:pt idx="5">
                  <c:v>0.0723</c:v>
                </c:pt>
                <c:pt idx="6">
                  <c:v>0.6818</c:v>
                </c:pt>
              </c:numCache>
            </c:numRef>
          </c:val>
        </c:ser>
        <c:ser>
          <c:idx val="1"/>
          <c:order val="1"/>
          <c:tx>
            <c:strRef>
              <c:f>Sheet1!$C$1</c:f>
              <c:strCache>
                <c:ptCount val="1"/>
                <c:pt idx="0">
                  <c:v>2020届</c:v>
                </c:pt>
              </c:strCache>
            </c:strRef>
          </c:tx>
          <c:spPr>
            <a:solidFill>
              <a:srgbClr val="0BD0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三资企业</c:v>
                </c:pt>
                <c:pt idx="1">
                  <c:v>高等教育单位</c:v>
                </c:pt>
                <c:pt idx="2">
                  <c:v>机关</c:v>
                </c:pt>
                <c:pt idx="3">
                  <c:v>其他事业单位</c:v>
                </c:pt>
                <c:pt idx="4">
                  <c:v>国有企业</c:v>
                </c:pt>
                <c:pt idx="5">
                  <c:v>中初教育单位</c:v>
                </c:pt>
                <c:pt idx="6">
                  <c:v>其他企业</c:v>
                </c:pt>
              </c:strCache>
            </c:strRef>
          </c:cat>
          <c:val>
            <c:numRef>
              <c:f>Sheet1!$C$2:$C$8</c:f>
              <c:numCache>
                <c:formatCode>0.00%</c:formatCode>
                <c:ptCount val="7"/>
                <c:pt idx="0">
                  <c:v>0.0037</c:v>
                </c:pt>
                <c:pt idx="1">
                  <c:v>0.0024</c:v>
                </c:pt>
                <c:pt idx="2">
                  <c:v>0.0126</c:v>
                </c:pt>
                <c:pt idx="3">
                  <c:v>0.0244</c:v>
                </c:pt>
                <c:pt idx="4">
                  <c:v>0.0593</c:v>
                </c:pt>
                <c:pt idx="5">
                  <c:v>0.0934</c:v>
                </c:pt>
                <c:pt idx="6">
                  <c:v>0.6573</c:v>
                </c:pt>
              </c:numCache>
            </c:numRef>
          </c:val>
        </c:ser>
        <c:ser>
          <c:idx val="2"/>
          <c:order val="2"/>
          <c:tx>
            <c:strRef>
              <c:f>Sheet1!$D$1</c:f>
              <c:strCache>
                <c:ptCount val="1"/>
                <c:pt idx="0">
                  <c:v>2019届</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三资企业</c:v>
                </c:pt>
                <c:pt idx="1">
                  <c:v>高等教育单位</c:v>
                </c:pt>
                <c:pt idx="2">
                  <c:v>机关</c:v>
                </c:pt>
                <c:pt idx="3">
                  <c:v>其他事业单位</c:v>
                </c:pt>
                <c:pt idx="4">
                  <c:v>国有企业</c:v>
                </c:pt>
                <c:pt idx="5">
                  <c:v>中初教育单位</c:v>
                </c:pt>
                <c:pt idx="6">
                  <c:v>其他企业</c:v>
                </c:pt>
              </c:strCache>
            </c:strRef>
          </c:cat>
          <c:val>
            <c:numRef>
              <c:f>Sheet1!$D$2:$D$8</c:f>
              <c:numCache>
                <c:formatCode>0.00%</c:formatCode>
                <c:ptCount val="7"/>
                <c:pt idx="0">
                  <c:v>0.0008</c:v>
                </c:pt>
                <c:pt idx="1">
                  <c:v>0</c:v>
                </c:pt>
                <c:pt idx="2">
                  <c:v>0.0126</c:v>
                </c:pt>
                <c:pt idx="3">
                  <c:v>0.0244</c:v>
                </c:pt>
                <c:pt idx="4">
                  <c:v>0.0593</c:v>
                </c:pt>
                <c:pt idx="5">
                  <c:v>0.0934</c:v>
                </c:pt>
                <c:pt idx="6">
                  <c:v>0.7536</c:v>
                </c:pt>
              </c:numCache>
            </c:numRef>
          </c:val>
        </c:ser>
        <c:dLbls>
          <c:showLegendKey val="0"/>
          <c:showVal val="1"/>
          <c:showCatName val="0"/>
          <c:showSerName val="0"/>
          <c:showPercent val="0"/>
          <c:showBubbleSize val="0"/>
        </c:dLbls>
        <c:gapWidth val="50"/>
        <c:overlap val="-15"/>
        <c:axId val="823659040"/>
        <c:axId val="823660720"/>
      </c:barChart>
      <c:catAx>
        <c:axId val="823659040"/>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823660720"/>
        <c:crosses val="autoZero"/>
        <c:auto val="1"/>
        <c:lblAlgn val="ctr"/>
        <c:lblOffset val="100"/>
        <c:noMultiLvlLbl val="0"/>
      </c:catAx>
      <c:valAx>
        <c:axId val="823660720"/>
        <c:scaling>
          <c:orientation val="minMax"/>
          <c:max val="0.8"/>
        </c:scaling>
        <c:delete val="1"/>
        <c:axPos val="b"/>
        <c:numFmt formatCode="0.0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59040"/>
        <c:crosses val="autoZero"/>
        <c:crossBetween val="between"/>
        <c:majorUnit val="0.1"/>
      </c:valAx>
      <c:spPr>
        <a:noFill/>
        <a:ln>
          <a:noFill/>
        </a:ln>
        <a:effectLst/>
      </c:spPr>
    </c:plotArea>
    <c:legend>
      <c:legendPos val="r"/>
      <c:layout>
        <c:manualLayout>
          <c:xMode val="edge"/>
          <c:yMode val="edge"/>
          <c:x val="0.870105996365839"/>
          <c:y val="0.392597947983775"/>
          <c:w val="0.110580860084797"/>
          <c:h val="0.15168645492347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人数</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1"/>
              </a:solidFill>
            </c:spPr>
          </c:dPt>
          <c:dPt>
            <c:idx val="1"/>
            <c:invertIfNegative val="1"/>
            <c:bubble3D val="0"/>
            <c:spPr>
              <a:solidFill>
                <a:schemeClr val="accent3"/>
              </a:solidFill>
            </c:spPr>
          </c:dPt>
          <c:dPt>
            <c:idx val="2"/>
            <c:invertIfNegative val="1"/>
            <c:bubble3D val="0"/>
            <c:spPr>
              <a:solidFill>
                <a:srgbClr val="92D050"/>
              </a:solidFill>
            </c:spPr>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2019届</c:v>
                </c:pt>
                <c:pt idx="1">
                  <c:v>2020届</c:v>
                </c:pt>
                <c:pt idx="2">
                  <c:v>2021届</c:v>
                </c:pt>
              </c:strCache>
            </c:strRef>
          </c:cat>
          <c:val>
            <c:numRef>
              <c:f>Sheet1!$B$2:$B$4</c:f>
              <c:numCache>
                <c:formatCode>0.00_);[Red]\(0.00\)</c:formatCode>
                <c:ptCount val="3"/>
                <c:pt idx="0">
                  <c:v>4130</c:v>
                </c:pt>
                <c:pt idx="1">
                  <c:v>4185</c:v>
                </c:pt>
                <c:pt idx="2">
                  <c:v>4511.14</c:v>
                </c:pt>
              </c:numCache>
            </c:numRef>
          </c:val>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585987350866"/>
          <c:y val="0.0451129863747111"/>
          <c:w val="0.775561346423826"/>
          <c:h val="0.458843136411227"/>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0"/>
          <c:dLbls>
            <c:delete val="1"/>
          </c:dLbls>
          <c:cat>
            <c:strRef>
              <c:f>Sheet1!$A$2:$A$4</c:f>
              <c:strCache>
                <c:ptCount val="3"/>
                <c:pt idx="0">
                  <c:v>2019届</c:v>
                </c:pt>
                <c:pt idx="1">
                  <c:v>2020届</c:v>
                </c:pt>
                <c:pt idx="2">
                  <c:v>2021届</c:v>
                </c:pt>
              </c:strCache>
            </c:strRef>
          </c:cat>
          <c:val>
            <c:numRef>
              <c:f>Sheet1!$B$2:$B$4</c:f>
              <c:numCache>
                <c:formatCode>0.00%</c:formatCode>
                <c:ptCount val="3"/>
                <c:pt idx="0">
                  <c:v>0.0675</c:v>
                </c:pt>
                <c:pt idx="1">
                  <c:v>0.0941</c:v>
                </c:pt>
                <c:pt idx="2">
                  <c:v>0.0654</c:v>
                </c:pt>
              </c:numCache>
            </c:numRef>
          </c:val>
        </c:ser>
        <c:ser>
          <c:idx val="1"/>
          <c:order val="1"/>
          <c:tx>
            <c:strRef>
              <c:f>Sheet1!$C$1</c:f>
              <c:strCache>
                <c:ptCount val="1"/>
                <c:pt idx="0">
                  <c:v>专科毕业生</c:v>
                </c:pt>
              </c:strCache>
            </c:strRef>
          </c:tx>
          <c:spPr>
            <a:solidFill>
              <a:srgbClr val="0BD0D9"/>
            </a:solidFill>
            <a:ln>
              <a:noFill/>
            </a:ln>
            <a:effectLst/>
          </c:spPr>
          <c:invertIfNegative val="0"/>
          <c:dLbls>
            <c:delete val="1"/>
          </c:dLbls>
          <c:cat>
            <c:strRef>
              <c:f>Sheet1!$A$2:$A$4</c:f>
              <c:strCache>
                <c:ptCount val="3"/>
                <c:pt idx="0">
                  <c:v>2019届</c:v>
                </c:pt>
                <c:pt idx="1">
                  <c:v>2020届</c:v>
                </c:pt>
                <c:pt idx="2">
                  <c:v>2021届</c:v>
                </c:pt>
              </c:strCache>
            </c:strRef>
          </c:cat>
          <c:val>
            <c:numRef>
              <c:f>Sheet1!$C$2:$C$4</c:f>
              <c:numCache>
                <c:formatCode>0.00%</c:formatCode>
                <c:ptCount val="3"/>
                <c:pt idx="0">
                  <c:v>0.3027</c:v>
                </c:pt>
                <c:pt idx="1">
                  <c:v>0.51</c:v>
                </c:pt>
                <c:pt idx="2">
                  <c:v>0.4347</c:v>
                </c:pt>
              </c:numCache>
            </c:numRef>
          </c:val>
        </c:ser>
        <c:ser>
          <c:idx val="2"/>
          <c:order val="2"/>
          <c:tx>
            <c:strRef>
              <c:f>Sheet1!$D$1</c:f>
              <c:strCache>
                <c:ptCount val="1"/>
                <c:pt idx="0">
                  <c:v>总体</c:v>
                </c:pt>
              </c:strCache>
            </c:strRef>
          </c:tx>
          <c:spPr>
            <a:solidFill>
              <a:srgbClr val="92D050"/>
            </a:solidFill>
            <a:ln>
              <a:noFill/>
            </a:ln>
            <a:effectLst/>
          </c:spPr>
          <c:invertIfNegative val="0"/>
          <c:dLbls>
            <c:delete val="1"/>
          </c:dLbls>
          <c:cat>
            <c:strRef>
              <c:f>Sheet1!$A$2:$A$4</c:f>
              <c:strCache>
                <c:ptCount val="3"/>
                <c:pt idx="0">
                  <c:v>2019届</c:v>
                </c:pt>
                <c:pt idx="1">
                  <c:v>2020届</c:v>
                </c:pt>
                <c:pt idx="2">
                  <c:v>2021届</c:v>
                </c:pt>
              </c:strCache>
            </c:strRef>
          </c:cat>
          <c:val>
            <c:numRef>
              <c:f>Sheet1!$D$2:$D$4</c:f>
              <c:numCache>
                <c:formatCode>0.00%</c:formatCode>
                <c:ptCount val="3"/>
                <c:pt idx="0">
                  <c:v>0.1365</c:v>
                </c:pt>
                <c:pt idx="1">
                  <c:v>0.26</c:v>
                </c:pt>
                <c:pt idx="2">
                  <c:v>0.2052</c:v>
                </c:pt>
              </c:numCache>
            </c:numRef>
          </c:val>
        </c:ser>
        <c:dLbls>
          <c:showLegendKey val="0"/>
          <c:showVal val="0"/>
          <c:showCatName val="0"/>
          <c:showSerName val="0"/>
          <c:showPercent val="0"/>
          <c:showBubbleSize val="0"/>
        </c:dLbls>
        <c:gapWidth val="219"/>
        <c:overlap val="-27"/>
        <c:axId val="823676400"/>
        <c:axId val="823695440"/>
      </c:barChart>
      <c:catAx>
        <c:axId val="823676400"/>
        <c:scaling>
          <c:orientation val="minMax"/>
        </c:scaling>
        <c:delete val="0"/>
        <c:axPos val="b"/>
        <c:numFmt formatCode="General" sourceLinked="1"/>
        <c:majorTickMark val="out"/>
        <c:minorTickMark val="none"/>
        <c:tickLblPos val="nextTo"/>
        <c:spPr>
          <a:noFill/>
          <a:ln w="19050" cap="flat" cmpd="sng" algn="ctr">
            <a:solidFill>
              <a:schemeClr val="accent5"/>
            </a:solidFill>
            <a:round/>
          </a:ln>
          <a:effectLst/>
        </c:spPr>
        <c:txPr>
          <a:bodyPr rot="-60000000" spcFirstLastPara="1" vertOverflow="ellipsis" vert="horz" wrap="square" anchor="ctr" anchorCtr="1"/>
          <a:lstStyle/>
          <a:p>
            <a:pPr>
              <a:defRPr lang="zh-CN" sz="900" b="0" i="0" u="none" strike="noStrike" kern="1200" baseline="0">
                <a:solidFill>
                  <a:schemeClr val="accent5"/>
                </a:solidFill>
                <a:latin typeface="+mn-lt"/>
                <a:ea typeface="+mn-ea"/>
                <a:cs typeface="+mn-cs"/>
              </a:defRPr>
            </a:pPr>
          </a:p>
        </c:txPr>
        <c:crossAx val="823695440"/>
        <c:crosses val="autoZero"/>
        <c:auto val="1"/>
        <c:lblAlgn val="ctr"/>
        <c:lblOffset val="100"/>
        <c:noMultiLvlLbl val="0"/>
      </c:catAx>
      <c:valAx>
        <c:axId val="823695440"/>
        <c:scaling>
          <c:orientation val="minMax"/>
          <c:max val="0.5"/>
          <c:min val="0"/>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76400"/>
        <c:crosses val="autoZero"/>
        <c:crossBetween val="between"/>
        <c:majorUnit val="0.2"/>
      </c:valAx>
      <c:dTable>
        <c:showHorzBorder val="1"/>
        <c:showVertBorder val="1"/>
        <c:showOutline val="1"/>
        <c:showKeys val="1"/>
        <c:spPr>
          <a:noFill/>
          <a:ln w="15875" cap="flat" cmpd="sng" algn="ctr">
            <a:solidFill>
              <a:schemeClr val="accent1"/>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1587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2"/>
              </a:solidFill>
            </c:spPr>
          </c:dPt>
          <c:dPt>
            <c:idx val="1"/>
            <c:invertIfNegative val="1"/>
            <c:bubble3D val="0"/>
            <c:spPr>
              <a:solidFill>
                <a:schemeClr val="accent4"/>
              </a:solidFill>
            </c:spPr>
          </c:dPt>
          <c:dPt>
            <c:idx val="2"/>
            <c:invertIfNegative val="1"/>
            <c:bubble3D val="0"/>
            <c:spPr>
              <a:solidFill>
                <a:schemeClr val="accent6"/>
              </a:solidFill>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本科毕业生</c:v>
                </c:pt>
                <c:pt idx="1">
                  <c:v>专科毕业生</c:v>
                </c:pt>
                <c:pt idx="2">
                  <c:v>硕士研究生</c:v>
                </c:pt>
              </c:strCache>
            </c:strRef>
          </c:cat>
          <c:val>
            <c:numRef>
              <c:f>Sheet1!$B$2:$B$4</c:f>
              <c:numCache>
                <c:formatCode>0.00%</c:formatCode>
                <c:ptCount val="3"/>
                <c:pt idx="0">
                  <c:v>0.475838264299803</c:v>
                </c:pt>
                <c:pt idx="1">
                  <c:v>0.386094674556213</c:v>
                </c:pt>
                <c:pt idx="2">
                  <c:v>0.138067061143984</c:v>
                </c:pt>
              </c:numCache>
            </c:numRef>
          </c:val>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585987350866"/>
          <c:y val="0.0451129863747111"/>
          <c:w val="0.775561346423826"/>
          <c:h val="0.458843136411227"/>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0"/>
          <c:dLbls>
            <c:delete val="1"/>
          </c:dLbls>
          <c:cat>
            <c:strRef>
              <c:f>Sheet1!$A$2:$A$4</c:f>
              <c:strCache>
                <c:ptCount val="3"/>
                <c:pt idx="0">
                  <c:v>2019届</c:v>
                </c:pt>
                <c:pt idx="1">
                  <c:v>2020届</c:v>
                </c:pt>
                <c:pt idx="2">
                  <c:v>2021届</c:v>
                </c:pt>
              </c:strCache>
            </c:strRef>
          </c:cat>
          <c:val>
            <c:numRef>
              <c:f>Sheet1!$B$2:$B$4</c:f>
              <c:numCache>
                <c:formatCode>0.00%</c:formatCode>
                <c:ptCount val="3"/>
                <c:pt idx="0">
                  <c:v>0.7629</c:v>
                </c:pt>
                <c:pt idx="1">
                  <c:v>0.7446</c:v>
                </c:pt>
                <c:pt idx="2">
                  <c:v>0.727</c:v>
                </c:pt>
              </c:numCache>
            </c:numRef>
          </c:val>
        </c:ser>
        <c:ser>
          <c:idx val="1"/>
          <c:order val="1"/>
          <c:tx>
            <c:strRef>
              <c:f>Sheet1!$C$1</c:f>
              <c:strCache>
                <c:ptCount val="1"/>
                <c:pt idx="0">
                  <c:v>专科毕业生</c:v>
                </c:pt>
              </c:strCache>
            </c:strRef>
          </c:tx>
          <c:spPr>
            <a:solidFill>
              <a:srgbClr val="0BD0D9"/>
            </a:solidFill>
            <a:ln>
              <a:noFill/>
            </a:ln>
            <a:effectLst/>
          </c:spPr>
          <c:invertIfNegative val="0"/>
          <c:dLbls>
            <c:delete val="1"/>
          </c:dLbls>
          <c:cat>
            <c:strRef>
              <c:f>Sheet1!$A$2:$A$4</c:f>
              <c:strCache>
                <c:ptCount val="3"/>
                <c:pt idx="0">
                  <c:v>2019届</c:v>
                </c:pt>
                <c:pt idx="1">
                  <c:v>2020届</c:v>
                </c:pt>
                <c:pt idx="2">
                  <c:v>2021届</c:v>
                </c:pt>
              </c:strCache>
            </c:strRef>
          </c:cat>
          <c:val>
            <c:numRef>
              <c:f>Sheet1!$C$2:$C$4</c:f>
              <c:numCache>
                <c:formatCode>0.00%</c:formatCode>
                <c:ptCount val="3"/>
                <c:pt idx="0">
                  <c:v>0.6509</c:v>
                </c:pt>
                <c:pt idx="1">
                  <c:v>0.8551</c:v>
                </c:pt>
                <c:pt idx="2">
                  <c:v>0.8348</c:v>
                </c:pt>
              </c:numCache>
            </c:numRef>
          </c:val>
        </c:ser>
        <c:ser>
          <c:idx val="2"/>
          <c:order val="2"/>
          <c:tx>
            <c:strRef>
              <c:f>Sheet1!$D$1</c:f>
              <c:strCache>
                <c:ptCount val="1"/>
                <c:pt idx="0">
                  <c:v>总体</c:v>
                </c:pt>
              </c:strCache>
            </c:strRef>
          </c:tx>
          <c:spPr>
            <a:solidFill>
              <a:srgbClr val="92D050"/>
            </a:solidFill>
            <a:ln>
              <a:noFill/>
            </a:ln>
            <a:effectLst/>
          </c:spPr>
          <c:invertIfNegative val="0"/>
          <c:dLbls>
            <c:delete val="1"/>
          </c:dLbls>
          <c:cat>
            <c:strRef>
              <c:f>Sheet1!$A$2:$A$4</c:f>
              <c:strCache>
                <c:ptCount val="3"/>
                <c:pt idx="0">
                  <c:v>2019届</c:v>
                </c:pt>
                <c:pt idx="1">
                  <c:v>2020届</c:v>
                </c:pt>
                <c:pt idx="2">
                  <c:v>2021届</c:v>
                </c:pt>
              </c:strCache>
            </c:strRef>
          </c:cat>
          <c:val>
            <c:numRef>
              <c:f>Sheet1!$D$2:$D$4</c:f>
              <c:numCache>
                <c:formatCode>0.00%</c:formatCode>
                <c:ptCount val="3"/>
                <c:pt idx="0">
                  <c:v>0.7451</c:v>
                </c:pt>
                <c:pt idx="1">
                  <c:v>0.7682</c:v>
                </c:pt>
                <c:pt idx="2">
                  <c:v>0.7513</c:v>
                </c:pt>
              </c:numCache>
            </c:numRef>
          </c:val>
        </c:ser>
        <c:dLbls>
          <c:showLegendKey val="0"/>
          <c:showVal val="0"/>
          <c:showCatName val="0"/>
          <c:showSerName val="0"/>
          <c:showPercent val="0"/>
          <c:showBubbleSize val="0"/>
        </c:dLbls>
        <c:gapWidth val="219"/>
        <c:overlap val="-27"/>
        <c:axId val="823676400"/>
        <c:axId val="823695440"/>
      </c:barChart>
      <c:catAx>
        <c:axId val="823676400"/>
        <c:scaling>
          <c:orientation val="minMax"/>
        </c:scaling>
        <c:delete val="0"/>
        <c:axPos val="b"/>
        <c:numFmt formatCode="General" sourceLinked="1"/>
        <c:majorTickMark val="out"/>
        <c:minorTickMark val="none"/>
        <c:tickLblPos val="nextTo"/>
        <c:spPr>
          <a:noFill/>
          <a:ln w="19050" cap="flat" cmpd="sng" algn="ctr">
            <a:solidFill>
              <a:schemeClr val="accent5"/>
            </a:solidFill>
            <a:round/>
          </a:ln>
          <a:effectLst/>
        </c:spPr>
        <c:txPr>
          <a:bodyPr rot="-60000000" spcFirstLastPara="1" vertOverflow="ellipsis" vert="horz" wrap="square" anchor="ctr" anchorCtr="1"/>
          <a:lstStyle/>
          <a:p>
            <a:pPr>
              <a:defRPr lang="zh-CN" sz="900" b="0" i="0" u="none" strike="noStrike" kern="1200" baseline="0">
                <a:solidFill>
                  <a:schemeClr val="accent5"/>
                </a:solidFill>
                <a:latin typeface="+mn-lt"/>
                <a:ea typeface="+mn-ea"/>
                <a:cs typeface="+mn-cs"/>
              </a:defRPr>
            </a:pPr>
          </a:p>
        </c:txPr>
        <c:crossAx val="823695440"/>
        <c:crosses val="autoZero"/>
        <c:auto val="1"/>
        <c:lblAlgn val="ctr"/>
        <c:lblOffset val="100"/>
        <c:noMultiLvlLbl val="0"/>
      </c:catAx>
      <c:valAx>
        <c:axId val="823695440"/>
        <c:scaling>
          <c:orientation val="minMax"/>
          <c:max val="0.8"/>
          <c:min val="0.5"/>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76400"/>
        <c:crosses val="autoZero"/>
        <c:crossBetween val="between"/>
        <c:majorUnit val="0.1"/>
      </c:valAx>
      <c:dTable>
        <c:showHorzBorder val="1"/>
        <c:showVertBorder val="1"/>
        <c:showOutline val="1"/>
        <c:showKeys val="1"/>
        <c:spPr>
          <a:noFill/>
          <a:ln w="15875" cap="flat" cmpd="sng" algn="ctr">
            <a:solidFill>
              <a:schemeClr val="accent1"/>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1587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134586038999"/>
          <c:y val="0.0451128035225105"/>
          <c:w val="0.775561346423826"/>
          <c:h val="0.458843136411227"/>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0"/>
          <c:dLbls>
            <c:delete val="1"/>
          </c:dLbls>
          <c:cat>
            <c:strRef>
              <c:f>Sheet1!$A$2:$A$4</c:f>
              <c:strCache>
                <c:ptCount val="3"/>
                <c:pt idx="0">
                  <c:v>2019届</c:v>
                </c:pt>
                <c:pt idx="1">
                  <c:v>2020届</c:v>
                </c:pt>
                <c:pt idx="2">
                  <c:v>2021届</c:v>
                </c:pt>
              </c:strCache>
            </c:strRef>
          </c:cat>
          <c:val>
            <c:numRef>
              <c:f>Sheet1!$B$2:$B$4</c:f>
              <c:numCache>
                <c:formatCode>0.00%</c:formatCode>
                <c:ptCount val="3"/>
                <c:pt idx="0">
                  <c:v>0.9894</c:v>
                </c:pt>
                <c:pt idx="1">
                  <c:v>0.9764</c:v>
                </c:pt>
                <c:pt idx="2">
                  <c:v>0.9231</c:v>
                </c:pt>
              </c:numCache>
            </c:numRef>
          </c:val>
        </c:ser>
        <c:ser>
          <c:idx val="1"/>
          <c:order val="1"/>
          <c:tx>
            <c:strRef>
              <c:f>Sheet1!$C$1</c:f>
              <c:strCache>
                <c:ptCount val="1"/>
                <c:pt idx="0">
                  <c:v>专科毕业生</c:v>
                </c:pt>
              </c:strCache>
            </c:strRef>
          </c:tx>
          <c:spPr>
            <a:solidFill>
              <a:srgbClr val="0BD0D9"/>
            </a:solidFill>
            <a:ln>
              <a:noFill/>
            </a:ln>
            <a:effectLst/>
          </c:spPr>
          <c:invertIfNegative val="0"/>
          <c:dLbls>
            <c:delete val="1"/>
          </c:dLbls>
          <c:cat>
            <c:strRef>
              <c:f>Sheet1!$A$2:$A$4</c:f>
              <c:strCache>
                <c:ptCount val="3"/>
                <c:pt idx="0">
                  <c:v>2019届</c:v>
                </c:pt>
                <c:pt idx="1">
                  <c:v>2020届</c:v>
                </c:pt>
                <c:pt idx="2">
                  <c:v>2021届</c:v>
                </c:pt>
              </c:strCache>
            </c:strRef>
          </c:cat>
          <c:val>
            <c:numRef>
              <c:f>Sheet1!$C$2:$C$4</c:f>
              <c:numCache>
                <c:formatCode>0.00%</c:formatCode>
                <c:ptCount val="3"/>
                <c:pt idx="0">
                  <c:v>0.9811</c:v>
                </c:pt>
                <c:pt idx="1">
                  <c:v>0.9855</c:v>
                </c:pt>
                <c:pt idx="2">
                  <c:v>0.9174</c:v>
                </c:pt>
              </c:numCache>
            </c:numRef>
          </c:val>
        </c:ser>
        <c:ser>
          <c:idx val="2"/>
          <c:order val="2"/>
          <c:tx>
            <c:strRef>
              <c:f>Sheet1!$D$1</c:f>
              <c:strCache>
                <c:ptCount val="1"/>
                <c:pt idx="0">
                  <c:v>总体</c:v>
                </c:pt>
              </c:strCache>
            </c:strRef>
          </c:tx>
          <c:spPr>
            <a:solidFill>
              <a:srgbClr val="92D050"/>
            </a:solidFill>
            <a:ln>
              <a:noFill/>
            </a:ln>
            <a:effectLst/>
          </c:spPr>
          <c:invertIfNegative val="0"/>
          <c:dLbls>
            <c:delete val="1"/>
          </c:dLbls>
          <c:cat>
            <c:strRef>
              <c:f>Sheet1!$A$2:$A$4</c:f>
              <c:strCache>
                <c:ptCount val="3"/>
                <c:pt idx="0">
                  <c:v>2019届</c:v>
                </c:pt>
                <c:pt idx="1">
                  <c:v>2020届</c:v>
                </c:pt>
                <c:pt idx="2">
                  <c:v>2021届</c:v>
                </c:pt>
              </c:strCache>
            </c:strRef>
          </c:cat>
          <c:val>
            <c:numRef>
              <c:f>Sheet1!$D$2:$D$4</c:f>
              <c:numCache>
                <c:formatCode>0.00%</c:formatCode>
                <c:ptCount val="3"/>
                <c:pt idx="0">
                  <c:v>0.9881</c:v>
                </c:pt>
                <c:pt idx="1">
                  <c:v>0.9784</c:v>
                </c:pt>
                <c:pt idx="2">
                  <c:v>0.9218</c:v>
                </c:pt>
              </c:numCache>
            </c:numRef>
          </c:val>
        </c:ser>
        <c:dLbls>
          <c:showLegendKey val="0"/>
          <c:showVal val="0"/>
          <c:showCatName val="0"/>
          <c:showSerName val="0"/>
          <c:showPercent val="0"/>
          <c:showBubbleSize val="0"/>
        </c:dLbls>
        <c:gapWidth val="219"/>
        <c:overlap val="-27"/>
        <c:axId val="823676400"/>
        <c:axId val="823695440"/>
      </c:barChart>
      <c:catAx>
        <c:axId val="823676400"/>
        <c:scaling>
          <c:orientation val="minMax"/>
        </c:scaling>
        <c:delete val="0"/>
        <c:axPos val="b"/>
        <c:numFmt formatCode="General" sourceLinked="1"/>
        <c:majorTickMark val="out"/>
        <c:minorTickMark val="none"/>
        <c:tickLblPos val="nextTo"/>
        <c:spPr>
          <a:noFill/>
          <a:ln w="19050" cap="flat" cmpd="sng" algn="ctr">
            <a:solidFill>
              <a:schemeClr val="accent5"/>
            </a:solidFill>
            <a:round/>
          </a:ln>
          <a:effectLst/>
        </c:spPr>
        <c:txPr>
          <a:bodyPr rot="-60000000" spcFirstLastPara="1" vertOverflow="ellipsis" vert="horz" wrap="square" anchor="ctr" anchorCtr="1"/>
          <a:lstStyle/>
          <a:p>
            <a:pPr>
              <a:defRPr lang="zh-CN" sz="900" b="0" i="0" u="none" strike="noStrike" kern="1200" baseline="0">
                <a:solidFill>
                  <a:schemeClr val="accent5"/>
                </a:solidFill>
                <a:latin typeface="+mn-lt"/>
                <a:ea typeface="+mn-ea"/>
                <a:cs typeface="+mn-cs"/>
              </a:defRPr>
            </a:pPr>
          </a:p>
        </c:txPr>
        <c:crossAx val="823695440"/>
        <c:crosses val="autoZero"/>
        <c:auto val="1"/>
        <c:lblAlgn val="ctr"/>
        <c:lblOffset val="100"/>
        <c:noMultiLvlLbl val="0"/>
      </c:catAx>
      <c:valAx>
        <c:axId val="823695440"/>
        <c:scaling>
          <c:orientation val="minMax"/>
          <c:min val="0.8"/>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676400"/>
        <c:crosses val="autoZero"/>
        <c:crossBetween val="between"/>
        <c:majorUnit val="0.1"/>
      </c:valAx>
      <c:dTable>
        <c:showHorzBorder val="1"/>
        <c:showVertBorder val="1"/>
        <c:showOutline val="1"/>
        <c:showKeys val="1"/>
        <c:spPr>
          <a:noFill/>
          <a:ln w="15875" cap="flat" cmpd="sng" algn="ctr">
            <a:solidFill>
              <a:schemeClr val="accent1"/>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1587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1"/>
              </a:solidFill>
            </c:spPr>
          </c:dPt>
          <c:dPt>
            <c:idx val="1"/>
            <c:invertIfNegative val="1"/>
            <c:bubble3D val="0"/>
            <c:spPr>
              <a:solidFill>
                <a:schemeClr val="accent3"/>
              </a:solidFill>
            </c:spPr>
          </c:dPt>
          <c:dPt>
            <c:idx val="2"/>
            <c:invertIfNegative val="1"/>
            <c:bubble3D val="0"/>
            <c:spPr>
              <a:solidFill>
                <a:srgbClr val="92D050"/>
              </a:solidFill>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专科毕业生</c:v>
                </c:pt>
                <c:pt idx="1">
                  <c:v>本科毕业生</c:v>
                </c:pt>
                <c:pt idx="2">
                  <c:v>总体</c:v>
                </c:pt>
              </c:strCache>
            </c:strRef>
          </c:cat>
          <c:val>
            <c:numRef>
              <c:f>Sheet1!$B$2:$B$4</c:f>
              <c:numCache>
                <c:formatCode>0.00%</c:formatCode>
                <c:ptCount val="3"/>
                <c:pt idx="0">
                  <c:v>0.985436893203884</c:v>
                </c:pt>
                <c:pt idx="1">
                  <c:v>0.979145978152929</c:v>
                </c:pt>
                <c:pt idx="2">
                  <c:v>0.980972515856237</c:v>
                </c:pt>
              </c:numCache>
            </c:numRef>
          </c:val>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majorUnit val="0.2"/>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
          <c:y val="0.0230294326416745"/>
          <c:w val="0.827963294360932"/>
          <c:h val="0.61296741672981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delete val="1"/>
          </c:dLbls>
          <c:cat>
            <c:strRef>
              <c:f>Sheet1!$A$2:$A$5</c:f>
              <c:strCache>
                <c:ptCount val="4"/>
                <c:pt idx="0">
                  <c:v>课程总体满意度</c:v>
                </c:pt>
                <c:pt idx="1">
                  <c:v>专业课掌握度</c:v>
                </c:pt>
                <c:pt idx="2">
                  <c:v>专业课满足度</c:v>
                </c:pt>
                <c:pt idx="3">
                  <c:v>公共课帮助度</c:v>
                </c:pt>
              </c:strCache>
            </c:strRef>
          </c:cat>
          <c:val>
            <c:numRef>
              <c:f>Sheet1!$B$2:$B$5</c:f>
              <c:numCache>
                <c:formatCode>0.00%</c:formatCode>
                <c:ptCount val="4"/>
                <c:pt idx="0">
                  <c:v>0.928263253168812</c:v>
                </c:pt>
                <c:pt idx="1">
                  <c:v>0.946768060836502</c:v>
                </c:pt>
                <c:pt idx="2">
                  <c:v>0.915238095238095</c:v>
                </c:pt>
                <c:pt idx="3">
                  <c:v>0.92278360343184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专科毕业生</c:v>
                </c:pt>
              </c:strCache>
            </c:strRef>
          </c:tx>
          <c:spPr>
            <a:solidFill>
              <a:srgbClr val="0BD0D9"/>
            </a:solidFill>
            <a:ln>
              <a:noFill/>
            </a:ln>
            <a:effectLst/>
          </c:spPr>
          <c:invertIfNegative val="1"/>
          <c:dLbls>
            <c:delete val="1"/>
          </c:dLbls>
          <c:cat>
            <c:strRef>
              <c:f>Sheet1!$A$2:$A$5</c:f>
              <c:strCache>
                <c:ptCount val="4"/>
                <c:pt idx="0">
                  <c:v>课程总体满意度</c:v>
                </c:pt>
                <c:pt idx="1">
                  <c:v>专业课掌握度</c:v>
                </c:pt>
                <c:pt idx="2">
                  <c:v>专业课满足度</c:v>
                </c:pt>
                <c:pt idx="3">
                  <c:v>公共课帮助度</c:v>
                </c:pt>
              </c:strCache>
            </c:strRef>
          </c:cat>
          <c:val>
            <c:numRef>
              <c:f>Sheet1!$C$2:$C$5</c:f>
              <c:numCache>
                <c:formatCode>0.00%</c:formatCode>
                <c:ptCount val="4"/>
                <c:pt idx="0">
                  <c:v>0.922801036619392</c:v>
                </c:pt>
                <c:pt idx="1">
                  <c:v>0.921739130434783</c:v>
                </c:pt>
                <c:pt idx="2">
                  <c:v>0.921225382932166</c:v>
                </c:pt>
                <c:pt idx="3">
                  <c:v>0.925438596491228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92D050"/>
            </a:solidFill>
            <a:ln>
              <a:noFill/>
            </a:ln>
            <a:effectLst/>
          </c:spPr>
          <c:invertIfNegative val="1"/>
          <c:dLbls>
            <c:delete val="1"/>
          </c:dLbls>
          <c:cat>
            <c:strRef>
              <c:f>Sheet1!$A$2:$A$5</c:f>
              <c:strCache>
                <c:ptCount val="4"/>
                <c:pt idx="0">
                  <c:v>课程总体满意度</c:v>
                </c:pt>
                <c:pt idx="1">
                  <c:v>专业课掌握度</c:v>
                </c:pt>
                <c:pt idx="2">
                  <c:v>专业课满足度</c:v>
                </c:pt>
                <c:pt idx="3">
                  <c:v>公共课帮助度</c:v>
                </c:pt>
              </c:strCache>
            </c:strRef>
          </c:cat>
          <c:val>
            <c:numRef>
              <c:f>Sheet1!$D$2:$D$5</c:f>
              <c:numCache>
                <c:formatCode>0.00%</c:formatCode>
                <c:ptCount val="4"/>
                <c:pt idx="0">
                  <c:v>0.926598409397029</c:v>
                </c:pt>
                <c:pt idx="1">
                  <c:v>0.939153439153439</c:v>
                </c:pt>
                <c:pt idx="2">
                  <c:v>0.917053749170538</c:v>
                </c:pt>
                <c:pt idx="3">
                  <c:v>0.92358803986711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60032"/>
        <c:crosses val="autoZero"/>
        <c:auto val="1"/>
        <c:lblAlgn val="ctr"/>
        <c:lblOffset val="100"/>
        <c:noMultiLvlLbl val="0"/>
      </c:catAx>
      <c:valAx>
        <c:axId val="607560032"/>
        <c:scaling>
          <c:orientation val="minMax"/>
          <c:max val="1"/>
          <c:min val="0.9"/>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59640"/>
        <c:crosses val="autoZero"/>
        <c:crossBetween val="between"/>
        <c:majorUnit val="0.05"/>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
          <c:y val="0.0230294326416745"/>
          <c:w val="0.827963294360932"/>
          <c:h val="0.55717922052196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delete val="1"/>
          </c:dLbls>
          <c:cat>
            <c:strRef>
              <c:f>Sheet1!$A$2:$A$5</c:f>
              <c:strCache>
                <c:ptCount val="4"/>
                <c:pt idx="0">
                  <c:v>任课教师总体</c:v>
                </c:pt>
                <c:pt idx="1">
                  <c:v>师德师风</c:v>
                </c:pt>
                <c:pt idx="2">
                  <c:v>教学态度</c:v>
                </c:pt>
                <c:pt idx="3">
                  <c:v>教学水平</c:v>
                </c:pt>
              </c:strCache>
            </c:strRef>
          </c:cat>
          <c:val>
            <c:numRef>
              <c:f>Sheet1!$B$2:$B$5</c:f>
              <c:numCache>
                <c:formatCode>0.00%</c:formatCode>
                <c:ptCount val="4"/>
                <c:pt idx="0">
                  <c:v>0.970424685596714</c:v>
                </c:pt>
                <c:pt idx="1">
                  <c:v>0.980337078651685</c:v>
                </c:pt>
                <c:pt idx="2">
                  <c:v>0.961105565072054</c:v>
                </c:pt>
                <c:pt idx="3">
                  <c:v>0.969831413066403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专科毕业生</c:v>
                </c:pt>
              </c:strCache>
            </c:strRef>
          </c:tx>
          <c:spPr>
            <a:solidFill>
              <a:srgbClr val="0BD0D9"/>
            </a:solidFill>
            <a:ln>
              <a:noFill/>
            </a:ln>
            <a:effectLst/>
          </c:spPr>
          <c:invertIfNegative val="1"/>
          <c:dLbls>
            <c:delete val="1"/>
          </c:dLbls>
          <c:cat>
            <c:strRef>
              <c:f>Sheet1!$A$2:$A$5</c:f>
              <c:strCache>
                <c:ptCount val="4"/>
                <c:pt idx="0">
                  <c:v>任课教师总体</c:v>
                </c:pt>
                <c:pt idx="1">
                  <c:v>师德师风</c:v>
                </c:pt>
                <c:pt idx="2">
                  <c:v>教学态度</c:v>
                </c:pt>
                <c:pt idx="3">
                  <c:v>教学水平</c:v>
                </c:pt>
              </c:strCache>
            </c:strRef>
          </c:cat>
          <c:val>
            <c:numRef>
              <c:f>Sheet1!$C$2:$C$5</c:f>
              <c:numCache>
                <c:formatCode>0.00%</c:formatCode>
                <c:ptCount val="4"/>
                <c:pt idx="0">
                  <c:v>0.962943326524828</c:v>
                </c:pt>
                <c:pt idx="1">
                  <c:v>0.982721382289417</c:v>
                </c:pt>
                <c:pt idx="2">
                  <c:v>0.949095022624434</c:v>
                </c:pt>
                <c:pt idx="3">
                  <c:v>0.957013574660634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92D050"/>
            </a:solidFill>
            <a:ln>
              <a:noFill/>
            </a:ln>
            <a:effectLst/>
          </c:spPr>
          <c:invertIfNegative val="1"/>
          <c:dLbls>
            <c:delete val="1"/>
          </c:dLbls>
          <c:cat>
            <c:strRef>
              <c:f>Sheet1!$A$2:$A$5</c:f>
              <c:strCache>
                <c:ptCount val="4"/>
                <c:pt idx="0">
                  <c:v>任课教师总体</c:v>
                </c:pt>
                <c:pt idx="1">
                  <c:v>师德师风</c:v>
                </c:pt>
                <c:pt idx="2">
                  <c:v>教学态度</c:v>
                </c:pt>
                <c:pt idx="3">
                  <c:v>教学水平</c:v>
                </c:pt>
              </c:strCache>
            </c:strRef>
          </c:cat>
          <c:val>
            <c:numRef>
              <c:f>Sheet1!$D$2:$D$5</c:f>
              <c:numCache>
                <c:formatCode>0.00%</c:formatCode>
                <c:ptCount val="4"/>
                <c:pt idx="0">
                  <c:v>0.968176580418354</c:v>
                </c:pt>
                <c:pt idx="1">
                  <c:v>0.981058131939909</c:v>
                </c:pt>
                <c:pt idx="2">
                  <c:v>0.95749524826926</c:v>
                </c:pt>
                <c:pt idx="3">
                  <c:v>0.965976361045893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60032"/>
        <c:crosses val="autoZero"/>
        <c:auto val="1"/>
        <c:lblAlgn val="ctr"/>
        <c:lblOffset val="100"/>
        <c:noMultiLvlLbl val="0"/>
      </c:catAx>
      <c:valAx>
        <c:axId val="607560032"/>
        <c:scaling>
          <c:orientation val="minMax"/>
          <c:max val="1"/>
          <c:min val="0.9"/>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59640"/>
        <c:crosses val="autoZero"/>
        <c:crossBetween val="between"/>
        <c:majorUnit val="0.05"/>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lang="zh-CN">
          <a:solidFill>
            <a:schemeClr val="tx1"/>
          </a:solidFill>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
          <c:y val="0.0312964084617628"/>
          <c:w val="0.827963294360932"/>
          <c:h val="0.588183592435561"/>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delete val="1"/>
          </c:dLbls>
          <c:cat>
            <c:strRef>
              <c:f>Sheet1!$A$2:$A$5</c:f>
              <c:strCache>
                <c:ptCount val="4"/>
                <c:pt idx="0">
                  <c:v>学风建设总体</c:v>
                </c:pt>
                <c:pt idx="1">
                  <c:v>学习交流</c:v>
                </c:pt>
                <c:pt idx="2">
                  <c:v>课后自习</c:v>
                </c:pt>
                <c:pt idx="3">
                  <c:v>课堂听讲</c:v>
                </c:pt>
              </c:strCache>
            </c:strRef>
          </c:cat>
          <c:val>
            <c:numRef>
              <c:f>Sheet1!$B$2:$B$5</c:f>
              <c:numCache>
                <c:formatCode>0.00%</c:formatCode>
                <c:ptCount val="4"/>
                <c:pt idx="0">
                  <c:v>0.953500345499864</c:v>
                </c:pt>
                <c:pt idx="1">
                  <c:v>0.939423076923077</c:v>
                </c:pt>
                <c:pt idx="2">
                  <c:v>0.942252165543792</c:v>
                </c:pt>
                <c:pt idx="3">
                  <c:v>0.978825794032724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专科毕业生</c:v>
                </c:pt>
              </c:strCache>
            </c:strRef>
          </c:tx>
          <c:spPr>
            <a:solidFill>
              <a:srgbClr val="0BD0D9"/>
            </a:solidFill>
            <a:ln>
              <a:noFill/>
            </a:ln>
            <a:effectLst/>
          </c:spPr>
          <c:invertIfNegative val="1"/>
          <c:dLbls>
            <c:delete val="1"/>
          </c:dLbls>
          <c:cat>
            <c:strRef>
              <c:f>Sheet1!$A$2:$A$5</c:f>
              <c:strCache>
                <c:ptCount val="4"/>
                <c:pt idx="0">
                  <c:v>学风建设总体</c:v>
                </c:pt>
                <c:pt idx="1">
                  <c:v>学习交流</c:v>
                </c:pt>
                <c:pt idx="2">
                  <c:v>课后自习</c:v>
                </c:pt>
                <c:pt idx="3">
                  <c:v>课堂听讲</c:v>
                </c:pt>
              </c:strCache>
            </c:strRef>
          </c:cat>
          <c:val>
            <c:numRef>
              <c:f>Sheet1!$C$2:$C$5</c:f>
              <c:numCache>
                <c:formatCode>0.00%</c:formatCode>
                <c:ptCount val="4"/>
                <c:pt idx="0">
                  <c:v>0.934814814814815</c:v>
                </c:pt>
                <c:pt idx="1">
                  <c:v>0.917777777777778</c:v>
                </c:pt>
                <c:pt idx="2">
                  <c:v>0.924444444444444</c:v>
                </c:pt>
                <c:pt idx="3">
                  <c:v>0.962222222222222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92D050"/>
            </a:solidFill>
            <a:ln>
              <a:noFill/>
            </a:ln>
            <a:effectLst/>
          </c:spPr>
          <c:invertIfNegative val="1"/>
          <c:dLbls>
            <c:delete val="1"/>
          </c:dLbls>
          <c:cat>
            <c:strRef>
              <c:f>Sheet1!$A$2:$A$5</c:f>
              <c:strCache>
                <c:ptCount val="4"/>
                <c:pt idx="0">
                  <c:v>学风建设总体</c:v>
                </c:pt>
                <c:pt idx="1">
                  <c:v>学习交流</c:v>
                </c:pt>
                <c:pt idx="2">
                  <c:v>课后自习</c:v>
                </c:pt>
                <c:pt idx="3">
                  <c:v>课堂听讲</c:v>
                </c:pt>
              </c:strCache>
            </c:strRef>
          </c:cat>
          <c:val>
            <c:numRef>
              <c:f>Sheet1!$D$2:$D$5</c:f>
              <c:numCache>
                <c:formatCode>0.00%</c:formatCode>
                <c:ptCount val="4"/>
                <c:pt idx="0">
                  <c:v>0.947854737876418</c:v>
                </c:pt>
                <c:pt idx="1">
                  <c:v>0.932885906040268</c:v>
                </c:pt>
                <c:pt idx="2">
                  <c:v>0.936870382807253</c:v>
                </c:pt>
                <c:pt idx="3">
                  <c:v>0.973807924781733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60032"/>
        <c:crosses val="autoZero"/>
        <c:auto val="1"/>
        <c:lblAlgn val="ctr"/>
        <c:lblOffset val="100"/>
        <c:noMultiLvlLbl val="0"/>
      </c:catAx>
      <c:valAx>
        <c:axId val="607560032"/>
        <c:scaling>
          <c:orientation val="minMax"/>
          <c:max val="1"/>
          <c:min val="0.9"/>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59640"/>
        <c:crosses val="autoZero"/>
        <c:crossBetween val="between"/>
        <c:majorUnit val="0.05"/>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
          <c:y val="0.0230294326416745"/>
          <c:w val="0.827963294360932"/>
          <c:h val="0.55717922052196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delete val="1"/>
          </c:dLbls>
          <c:cat>
            <c:strRef>
              <c:f>Sheet1!$A$2:$A$7</c:f>
              <c:strCache>
                <c:ptCount val="6"/>
                <c:pt idx="0">
                  <c:v>课堂教学总体</c:v>
                </c:pt>
                <c:pt idx="1">
                  <c:v>师生互动</c:v>
                </c:pt>
                <c:pt idx="2">
                  <c:v>教学效果</c:v>
                </c:pt>
                <c:pt idx="3">
                  <c:v>反馈指导</c:v>
                </c:pt>
                <c:pt idx="4">
                  <c:v>课堂纪律</c:v>
                </c:pt>
                <c:pt idx="5">
                  <c:v>课程目标</c:v>
                </c:pt>
              </c:strCache>
            </c:strRef>
          </c:cat>
          <c:val>
            <c:numRef>
              <c:f>Sheet1!$B$2:$B$7</c:f>
              <c:numCache>
                <c:formatCode>0.00%</c:formatCode>
                <c:ptCount val="6"/>
                <c:pt idx="0">
                  <c:v>0.966341073868664</c:v>
                </c:pt>
                <c:pt idx="1">
                  <c:v>0.960077896786758</c:v>
                </c:pt>
                <c:pt idx="2">
                  <c:v>0.969844357976654</c:v>
                </c:pt>
                <c:pt idx="3">
                  <c:v>0.955252918287938</c:v>
                </c:pt>
                <c:pt idx="4">
                  <c:v>0.966958211856171</c:v>
                </c:pt>
                <c:pt idx="5">
                  <c:v>0.979571984435798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专科毕业生</c:v>
                </c:pt>
              </c:strCache>
            </c:strRef>
          </c:tx>
          <c:spPr>
            <a:solidFill>
              <a:srgbClr val="009DD9"/>
            </a:solidFill>
            <a:ln>
              <a:noFill/>
            </a:ln>
            <a:effectLst/>
          </c:spPr>
          <c:invertIfNegative val="1"/>
          <c:dLbls>
            <c:delete val="1"/>
          </c:dLbls>
          <c:cat>
            <c:strRef>
              <c:f>Sheet1!$A$2:$A$7</c:f>
              <c:strCache>
                <c:ptCount val="6"/>
                <c:pt idx="0">
                  <c:v>课堂教学总体</c:v>
                </c:pt>
                <c:pt idx="1">
                  <c:v>师生互动</c:v>
                </c:pt>
                <c:pt idx="2">
                  <c:v>教学效果</c:v>
                </c:pt>
                <c:pt idx="3">
                  <c:v>反馈指导</c:v>
                </c:pt>
                <c:pt idx="4">
                  <c:v>课堂纪律</c:v>
                </c:pt>
                <c:pt idx="5">
                  <c:v>课程目标</c:v>
                </c:pt>
              </c:strCache>
            </c:strRef>
          </c:cat>
          <c:val>
            <c:numRef>
              <c:f>Sheet1!$C$2:$C$7</c:f>
              <c:numCache>
                <c:formatCode>0.00%</c:formatCode>
                <c:ptCount val="6"/>
                <c:pt idx="0">
                  <c:v>0.953846153846154</c:v>
                </c:pt>
                <c:pt idx="1">
                  <c:v>0.945701357466063</c:v>
                </c:pt>
                <c:pt idx="2">
                  <c:v>0.957013574660634</c:v>
                </c:pt>
                <c:pt idx="3">
                  <c:v>0.941176470588235</c:v>
                </c:pt>
                <c:pt idx="4">
                  <c:v>0.957013574660634</c:v>
                </c:pt>
                <c:pt idx="5">
                  <c:v>0.968325791855204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92D050"/>
            </a:solidFill>
            <a:ln>
              <a:noFill/>
            </a:ln>
            <a:effectLst/>
          </c:spPr>
          <c:invertIfNegative val="1"/>
          <c:dLbls>
            <c:delete val="1"/>
          </c:dLbls>
          <c:cat>
            <c:strRef>
              <c:f>Sheet1!$A$2:$A$7</c:f>
              <c:strCache>
                <c:ptCount val="6"/>
                <c:pt idx="0">
                  <c:v>课堂教学总体</c:v>
                </c:pt>
                <c:pt idx="1">
                  <c:v>师生互动</c:v>
                </c:pt>
                <c:pt idx="2">
                  <c:v>教学效果</c:v>
                </c:pt>
                <c:pt idx="3">
                  <c:v>反馈指导</c:v>
                </c:pt>
                <c:pt idx="4">
                  <c:v>课堂纪律</c:v>
                </c:pt>
                <c:pt idx="5">
                  <c:v>课程目标</c:v>
                </c:pt>
              </c:strCache>
            </c:strRef>
          </c:cat>
          <c:val>
            <c:numRef>
              <c:f>Sheet1!$D$2:$D$7</c:f>
              <c:numCache>
                <c:formatCode>0.00%</c:formatCode>
                <c:ptCount val="6"/>
                <c:pt idx="0">
                  <c:v>0.96258391593524</c:v>
                </c:pt>
                <c:pt idx="1">
                  <c:v>0.955752212389381</c:v>
                </c:pt>
                <c:pt idx="2">
                  <c:v>0.965986394557823</c:v>
                </c:pt>
                <c:pt idx="3">
                  <c:v>0.951020408163265</c:v>
                </c:pt>
                <c:pt idx="4">
                  <c:v>0.963970088375255</c:v>
                </c:pt>
                <c:pt idx="5">
                  <c:v>0.976190476190476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60032"/>
        <c:crosses val="autoZero"/>
        <c:auto val="1"/>
        <c:lblAlgn val="ctr"/>
        <c:lblOffset val="100"/>
        <c:noMultiLvlLbl val="0"/>
      </c:catAx>
      <c:valAx>
        <c:axId val="607560032"/>
        <c:scaling>
          <c:orientation val="minMax"/>
          <c:max val="1"/>
          <c:min val="0.9"/>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59640"/>
        <c:crosses val="autoZero"/>
        <c:crossBetween val="between"/>
        <c:majorUnit val="0.05"/>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
          <c:y val="0.0230294326416745"/>
          <c:w val="0.827963294360932"/>
          <c:h val="0.55717922052196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delete val="1"/>
          </c:dLbls>
          <c:cat>
            <c:strRef>
              <c:f>Sheet1!$A$2:$A$5</c:f>
              <c:strCache>
                <c:ptCount val="4"/>
                <c:pt idx="0">
                  <c:v>实践教学总体</c:v>
                </c:pt>
                <c:pt idx="1">
                  <c:v>内容实用性</c:v>
                </c:pt>
                <c:pt idx="2">
                  <c:v>开展充分性</c:v>
                </c:pt>
                <c:pt idx="3">
                  <c:v>组织管理有效性</c:v>
                </c:pt>
              </c:strCache>
            </c:strRef>
          </c:cat>
          <c:val>
            <c:numRef>
              <c:f>Sheet1!$B$2:$B$5</c:f>
              <c:numCache>
                <c:formatCode>0.00%</c:formatCode>
                <c:ptCount val="4"/>
                <c:pt idx="0">
                  <c:v>0.929311924997614</c:v>
                </c:pt>
                <c:pt idx="1">
                  <c:v>0.950243902439024</c:v>
                </c:pt>
                <c:pt idx="2">
                  <c:v>0.898238747553816</c:v>
                </c:pt>
                <c:pt idx="3">
                  <c:v>0.939453125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专科毕业生</c:v>
                </c:pt>
              </c:strCache>
            </c:strRef>
          </c:tx>
          <c:spPr>
            <a:solidFill>
              <a:srgbClr val="0BD0D9"/>
            </a:solidFill>
            <a:ln>
              <a:noFill/>
            </a:ln>
            <a:effectLst/>
          </c:spPr>
          <c:invertIfNegative val="1"/>
          <c:dLbls>
            <c:delete val="1"/>
          </c:dLbls>
          <c:cat>
            <c:strRef>
              <c:f>Sheet1!$A$2:$A$5</c:f>
              <c:strCache>
                <c:ptCount val="4"/>
                <c:pt idx="0">
                  <c:v>实践教学总体</c:v>
                </c:pt>
                <c:pt idx="1">
                  <c:v>内容实用性</c:v>
                </c:pt>
                <c:pt idx="2">
                  <c:v>开展充分性</c:v>
                </c:pt>
                <c:pt idx="3">
                  <c:v>组织管理有效性</c:v>
                </c:pt>
              </c:strCache>
            </c:strRef>
          </c:cat>
          <c:val>
            <c:numRef>
              <c:f>Sheet1!$C$2:$C$5</c:f>
              <c:numCache>
                <c:formatCode>0.00%</c:formatCode>
                <c:ptCount val="4"/>
                <c:pt idx="0">
                  <c:v>0.945749277525026</c:v>
                </c:pt>
                <c:pt idx="1">
                  <c:v>0.9749430523918</c:v>
                </c:pt>
                <c:pt idx="2">
                  <c:v>0.919908466819222</c:v>
                </c:pt>
                <c:pt idx="3">
                  <c:v>0.942396313364055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92D050"/>
            </a:solidFill>
            <a:ln>
              <a:noFill/>
            </a:ln>
            <a:effectLst/>
          </c:spPr>
          <c:invertIfNegative val="1"/>
          <c:dLbls>
            <c:delete val="1"/>
          </c:dLbls>
          <c:cat>
            <c:strRef>
              <c:f>Sheet1!$A$2:$A$5</c:f>
              <c:strCache>
                <c:ptCount val="4"/>
                <c:pt idx="0">
                  <c:v>实践教学总体</c:v>
                </c:pt>
                <c:pt idx="1">
                  <c:v>内容实用性</c:v>
                </c:pt>
                <c:pt idx="2">
                  <c:v>开展充分性</c:v>
                </c:pt>
                <c:pt idx="3">
                  <c:v>组织管理有效性</c:v>
                </c:pt>
              </c:strCache>
            </c:strRef>
          </c:cat>
          <c:val>
            <c:numRef>
              <c:f>Sheet1!$D$2:$D$5</c:f>
              <c:numCache>
                <c:formatCode>0.00%</c:formatCode>
                <c:ptCount val="4"/>
                <c:pt idx="0">
                  <c:v>0.934236252650671</c:v>
                </c:pt>
                <c:pt idx="1">
                  <c:v>0.957650273224044</c:v>
                </c:pt>
                <c:pt idx="2">
                  <c:v>0.904729266620973</c:v>
                </c:pt>
                <c:pt idx="3">
                  <c:v>0.940329218106996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60032"/>
        <c:crosses val="autoZero"/>
        <c:auto val="1"/>
        <c:lblAlgn val="ctr"/>
        <c:lblOffset val="100"/>
        <c:noMultiLvlLbl val="0"/>
      </c:catAx>
      <c:valAx>
        <c:axId val="607560032"/>
        <c:scaling>
          <c:orientation val="minMax"/>
          <c:max val="1"/>
          <c:min val="0.9"/>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59640"/>
        <c:crosses val="autoZero"/>
        <c:crossBetween val="between"/>
        <c:majorUnit val="0.05"/>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90907155124"/>
          <c:y val="0.115067567018519"/>
          <c:w val="0.854655575460475"/>
          <c:h val="0.839524796242575"/>
        </c:manualLayout>
      </c:layout>
      <c:barChart>
        <c:barDir val="bar"/>
        <c:grouping val="stacked"/>
        <c:varyColors val="0"/>
        <c:ser>
          <c:idx val="0"/>
          <c:order val="0"/>
          <c:tx>
            <c:strRef>
              <c:f>Sheet1!$B$1</c:f>
              <c:strCache>
                <c:ptCount val="1"/>
                <c:pt idx="0">
                  <c:v>重要度</c:v>
                </c:pt>
              </c:strCache>
            </c:strRef>
          </c:tx>
          <c:spPr>
            <a:solidFill>
              <a:schemeClr val="accent1"/>
            </a:solidFill>
            <a:ln>
              <a:noFill/>
            </a:ln>
            <a:effectLst/>
          </c:spPr>
          <c:invertIfNegative val="0"/>
          <c:dLbls>
            <c:dLbl>
              <c:idx val="0"/>
              <c:layout>
                <c:manualLayout>
                  <c:x val="-0.158921166939372"/>
                  <c:y val="0"/>
                </c:manualLayout>
              </c:layout>
              <c:tx>
                <c:rich>
                  <a:bodyPr rot="0" spcFirstLastPara="1" vertOverflow="ellipsis" vert="horz" wrap="square" lIns="38100" tIns="19050" rIns="38100" bIns="19050" anchor="ctr" anchorCtr="1">
                    <a:noAutofit/>
                  </a:bodyPr>
                  <a:lstStyle/>
                  <a:p>
                    <a:fld id="{b5a774da-bc98-4837-92d2-0f4ec4c853e0}" type="CELLRANGE">
                      <a:t>[CELLRANGE]</a:t>
                    </a:fld>
                    <a:endParaRPr b="0" i="0" u="none" strike="noStrike" baseline="0">
                      <a:latin typeface="Times New Roman" panose="02020603050405020304" charset="0"/>
                      <a:ea typeface="Times New Roman" panose="02020603050405020304" charset="0"/>
                      <a:cs typeface="+mn-ea"/>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56513363833373"/>
                  <c:y val="0"/>
                </c:manualLayout>
              </c:layout>
              <c:tx>
                <c:rich>
                  <a:bodyPr rot="0" spcFirstLastPara="1" vertOverflow="ellipsis" vert="horz" wrap="square" lIns="38100" tIns="19050" rIns="38100" bIns="19050" anchor="ctr" anchorCtr="1"/>
                  <a:lstStyle/>
                  <a:p>
                    <a:fld id="{eb1142f6-c22e-45b6-8831-44ee923fefc3}"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158921261738502"/>
                  <c:y val="0.00412796697626419"/>
                </c:manualLayout>
              </c:layout>
              <c:tx>
                <c:rich>
                  <a:bodyPr rot="0" spcFirstLastPara="1" vertOverflow="ellipsis" vert="horz" wrap="square" lIns="38100" tIns="19050" rIns="38100" bIns="19050" anchor="ctr" anchorCtr="1"/>
                  <a:lstStyle/>
                  <a:p>
                    <a:fld id="{805edb1c-d976-47b5-975d-26a6cea372f7}"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156513363833373"/>
                  <c:y val="0.00412796697626419"/>
                </c:manualLayout>
              </c:layout>
              <c:tx>
                <c:rich>
                  <a:bodyPr rot="0" spcFirstLastPara="1" vertOverflow="ellipsis" vert="horz" wrap="square" lIns="38100" tIns="19050" rIns="38100" bIns="19050" anchor="ctr" anchorCtr="1"/>
                  <a:lstStyle/>
                  <a:p>
                    <a:fld id="{adeeb654-65ae-4131-8fa0-0bb82ff45920}"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157717407585068"/>
                  <c:y val="-0.00206365845136231"/>
                </c:manualLayout>
              </c:layout>
              <c:tx>
                <c:rich>
                  <a:bodyPr rot="0" spcFirstLastPara="1" vertOverflow="ellipsis" vert="horz" wrap="square" lIns="38100" tIns="19050" rIns="38100" bIns="19050" anchor="ctr" anchorCtr="1">
                    <a:noAutofit/>
                  </a:bodyPr>
                  <a:lstStyle/>
                  <a:p>
                    <a:fld id="{629b2f4a-d6ca-49ad-8993-1c6ad31f9d8a}" type="CELLRANGE">
                      <a:t>[CELLRANGE]</a:t>
                    </a:fld>
                    <a:endParaRPr b="0" i="0" u="none" strike="noStrike" baseline="0">
                      <a:latin typeface="Times New Roman" panose="02020603050405020304" charset="0"/>
                      <a:ea typeface="Times New Roman" panose="02020603050405020304" charset="0"/>
                      <a:cs typeface="+mn-ea"/>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154105465928245"/>
                  <c:y val="7.56785203201188e-17"/>
                </c:manualLayout>
              </c:layout>
              <c:tx>
                <c:rich>
                  <a:bodyPr rot="0" spcFirstLastPara="1" vertOverflow="ellipsis" vert="horz" wrap="square" lIns="38100" tIns="19050" rIns="38100" bIns="19050" anchor="ctr" anchorCtr="1"/>
                  <a:lstStyle/>
                  <a:p>
                    <a:fld id="{4ef31baa-551d-40fa-ae6f-e51e57cbcac1}"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158921261738502"/>
                  <c:y val="0"/>
                </c:manualLayout>
              </c:layout>
              <c:tx>
                <c:rich>
                  <a:bodyPr rot="0" spcFirstLastPara="1" vertOverflow="ellipsis" vert="horz" wrap="square" lIns="38100" tIns="19050" rIns="38100" bIns="19050" anchor="ctr" anchorCtr="1"/>
                  <a:lstStyle/>
                  <a:p>
                    <a:fld id="{c24fae0e-dfdc-4474-99d8-a470808d58df}"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6373705754876"/>
                  <c:y val="0"/>
                </c:manualLayout>
              </c:layout>
              <c:tx>
                <c:rich>
                  <a:bodyPr rot="0" spcFirstLastPara="1" vertOverflow="ellipsis" vert="horz" wrap="square" lIns="38100" tIns="19050" rIns="38100" bIns="19050" anchor="ctr" anchorCtr="1"/>
                  <a:lstStyle/>
                  <a:p>
                    <a:fld id="{d67192ee-b23e-47b2-8ff5-ade1903dbeaa}"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175325862045022"/>
                  <c:y val="2.78479778919475e-7"/>
                </c:manualLayout>
              </c:layout>
              <c:tx>
                <c:rich>
                  <a:bodyPr rot="0" spcFirstLastPara="1" vertOverflow="ellipsis" vert="horz" wrap="square" lIns="38100" tIns="19050" rIns="38100" bIns="19050" anchor="ctr" anchorCtr="1"/>
                  <a:lstStyle/>
                  <a:p>
                    <a:fld id="{5e70eed1-d208-46d9-aa0a-f531e8e17cbe}"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0.156513363833373"/>
                  <c:y val="3.25036769803502e-7"/>
                </c:manualLayout>
              </c:layout>
              <c:tx>
                <c:rich>
                  <a:bodyPr rot="0" spcFirstLastPara="1" vertOverflow="ellipsis" vert="horz" wrap="square" lIns="38100" tIns="19050" rIns="38100" bIns="19050" anchor="ctr" anchorCtr="1"/>
                  <a:lstStyle/>
                  <a:p>
                    <a:fld id="{37b64444-705c-421d-9b69-2c4e1ad9c5a0}"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ext>
            </c:extLst>
          </c:dLbls>
          <c:cat>
            <c:strRef>
              <c:f>Sheet1!$A$2:$A$11</c:f>
              <c:strCache>
                <c:ptCount val="10"/>
                <c:pt idx="0">
                  <c:v>组织协调</c:v>
                </c:pt>
                <c:pt idx="1">
                  <c:v>外向主动</c:v>
                </c:pt>
                <c:pt idx="2">
                  <c:v>坚韧自信</c:v>
                </c:pt>
                <c:pt idx="3">
                  <c:v>情绪调节</c:v>
                </c:pt>
                <c:pt idx="4">
                  <c:v>严谨负责</c:v>
                </c:pt>
                <c:pt idx="5">
                  <c:v>创新思维</c:v>
                </c:pt>
                <c:pt idx="6">
                  <c:v>逻辑思维</c:v>
                </c:pt>
                <c:pt idx="7">
                  <c:v>团队意识</c:v>
                </c:pt>
                <c:pt idx="8">
                  <c:v>表达能力</c:v>
                </c:pt>
                <c:pt idx="9">
                  <c:v>主动学习</c:v>
                </c:pt>
              </c:strCache>
            </c:strRef>
          </c:cat>
          <c:val>
            <c:numRef>
              <c:f>Sheet1!$B$2:$B$11</c:f>
              <c:numCache>
                <c:formatCode>General</c:formatCode>
                <c:ptCount val="10"/>
                <c:pt idx="0">
                  <c:v>-3.21146245059289</c:v>
                </c:pt>
                <c:pt idx="1">
                  <c:v>-3.21442687747036</c:v>
                </c:pt>
                <c:pt idx="2">
                  <c:v>-3.22628458498024</c:v>
                </c:pt>
                <c:pt idx="3">
                  <c:v>-3.23616600790514</c:v>
                </c:pt>
                <c:pt idx="4">
                  <c:v>-3.26284584980237</c:v>
                </c:pt>
                <c:pt idx="5">
                  <c:v>-3.28656126482213</c:v>
                </c:pt>
                <c:pt idx="6">
                  <c:v>-3.30335968379447</c:v>
                </c:pt>
                <c:pt idx="7">
                  <c:v>-3.32509881422925</c:v>
                </c:pt>
                <c:pt idx="8">
                  <c:v>-3.41699604743083</c:v>
                </c:pt>
                <c:pt idx="9">
                  <c:v>-3.47430830039526</c:v>
                </c:pt>
              </c:numCache>
            </c:numRef>
          </c:val>
          <c:extLst>
            <c:ext xmlns:c15="http://schemas.microsoft.com/office/drawing/2012/chart" uri="{02D57815-91ED-43cb-92C2-25804820EDAC}">
              <c15:datalabelsRange>
                <c15:f>Sheet1!$E$2:$E$11</c15:f>
                <c15:dlblRangeCache>
                  <c:ptCount val="10"/>
                  <c:pt idx="0">
                    <c:v>21.15%</c:v>
                  </c:pt>
                  <c:pt idx="1">
                    <c:v>21.44%</c:v>
                  </c:pt>
                  <c:pt idx="2">
                    <c:v>22.63%</c:v>
                  </c:pt>
                  <c:pt idx="3">
                    <c:v>23.62%</c:v>
                  </c:pt>
                  <c:pt idx="4">
                    <c:v>26.28%</c:v>
                  </c:pt>
                  <c:pt idx="5">
                    <c:v>28.66%</c:v>
                  </c:pt>
                  <c:pt idx="6">
                    <c:v>30.34%</c:v>
                  </c:pt>
                  <c:pt idx="7">
                    <c:v>32.51%</c:v>
                  </c:pt>
                  <c:pt idx="8">
                    <c:v>41.70%</c:v>
                  </c:pt>
                  <c:pt idx="9">
                    <c:v>47.43%</c:v>
                  </c:pt>
                </c15:dlblRangeCache>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Sheet1!$A$2:$A$11</c:f>
              <c:strCache>
                <c:ptCount val="10"/>
                <c:pt idx="0">
                  <c:v>组织协调</c:v>
                </c:pt>
                <c:pt idx="1">
                  <c:v>外向主动</c:v>
                </c:pt>
                <c:pt idx="2">
                  <c:v>坚韧自信</c:v>
                </c:pt>
                <c:pt idx="3">
                  <c:v>情绪调节</c:v>
                </c:pt>
                <c:pt idx="4">
                  <c:v>严谨负责</c:v>
                </c:pt>
                <c:pt idx="5">
                  <c:v>创新思维</c:v>
                </c:pt>
                <c:pt idx="6">
                  <c:v>逻辑思维</c:v>
                </c:pt>
                <c:pt idx="7">
                  <c:v>团队意识</c:v>
                </c:pt>
                <c:pt idx="8">
                  <c:v>表达能力</c:v>
                </c:pt>
                <c:pt idx="9">
                  <c:v>主动学习</c:v>
                </c:pt>
              </c:strCache>
            </c:strRef>
          </c:cat>
          <c:val>
            <c:numRef>
              <c:f>Sheet1!$C$2:$C$11</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2"/>
          <c:order val="2"/>
          <c:tx>
            <c:strRef>
              <c:f>Sheet1!$D$1</c:f>
              <c:strCache>
                <c:ptCount val="1"/>
                <c:pt idx="0">
                  <c:v>水平</c:v>
                </c:pt>
              </c:strCache>
            </c:strRef>
          </c:tx>
          <c:spPr>
            <a:solidFill>
              <a:srgbClr val="92D050"/>
            </a:solidFill>
            <a:ln>
              <a:noFill/>
            </a:ln>
            <a:effectLst/>
          </c:spPr>
          <c:invertIfNegative val="0"/>
          <c:dLbls>
            <c:dLbl>
              <c:idx val="0"/>
              <c:layout>
                <c:manualLayout>
                  <c:x val="0.160878408717429"/>
                  <c:y val="0.00619199788355355"/>
                </c:manualLayout>
              </c:layout>
              <c:tx>
                <c:rich>
                  <a:bodyPr rot="0" spcFirstLastPara="1" vertOverflow="ellipsis" vert="horz" wrap="square" lIns="38100" tIns="19050" rIns="38100" bIns="19050" anchor="ctr" anchorCtr="1">
                    <a:noAutofit/>
                  </a:bodyPr>
                  <a:lstStyle/>
                  <a:p>
                    <a:fld id="{8dd808be-c6f2-4d03-b876-a9691464cc2e}" type="CELLRANGE">
                      <a:t>[CELLRANGE]</a:t>
                    </a:fld>
                    <a:endParaRPr b="0" i="0" u="none" strike="noStrike" baseline="0">
                      <a:latin typeface="Times New Roman" panose="02020603050405020304" charset="0"/>
                      <a:ea typeface="Times New Roman" panose="02020603050405020304" charset="0"/>
                      <a:cs typeface="+mn-ea"/>
                    </a:endParaRPr>
                  </a:p>
                </c:rich>
              </c:tx>
              <c:numFmt formatCode="#,##0.00_ "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49289670117987"/>
                  <c:y val="-0.00412796697626419"/>
                </c:manualLayout>
              </c:layout>
              <c:tx>
                <c:rich>
                  <a:bodyPr rot="0" spcFirstLastPara="1" vertOverflow="ellipsis" vert="horz" wrap="square" lIns="38100" tIns="19050" rIns="38100" bIns="19050" anchor="ctr" anchorCtr="1"/>
                  <a:lstStyle/>
                  <a:p>
                    <a:fld id="{24323e1d-c964-4a90-8e36-5a7ca3203018}"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151697568023116"/>
                  <c:y val="0.00412796697626419"/>
                </c:manualLayout>
              </c:layout>
              <c:tx>
                <c:rich>
                  <a:bodyPr rot="0" spcFirstLastPara="1" vertOverflow="ellipsis" vert="horz" wrap="square" lIns="38100" tIns="19050" rIns="38100" bIns="19050" anchor="ctr" anchorCtr="1"/>
                  <a:lstStyle/>
                  <a:p>
                    <a:fld id="{4166b481-f5af-4b86-9071-1af3abda1835}"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154105465928245"/>
                  <c:y val="0"/>
                </c:manualLayout>
              </c:layout>
              <c:tx>
                <c:rich>
                  <a:bodyPr rot="0" spcFirstLastPara="1" vertOverflow="ellipsis" vert="horz" wrap="square" lIns="38100" tIns="19050" rIns="38100" bIns="19050" anchor="ctr" anchorCtr="1"/>
                  <a:lstStyle/>
                  <a:p>
                    <a:fld id="{d51cc19e-c7a5-4d2a-a83b-628f5a9caf71}"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162533298194456"/>
                  <c:y val="0.00412796697626419"/>
                </c:manualLayout>
              </c:layout>
              <c:tx>
                <c:rich>
                  <a:bodyPr rot="0" spcFirstLastPara="1" vertOverflow="ellipsis" vert="horz" wrap="square" lIns="38100" tIns="19050" rIns="38100" bIns="19050" anchor="ctr" anchorCtr="1">
                    <a:noAutofit/>
                  </a:bodyPr>
                  <a:lstStyle/>
                  <a:p>
                    <a:fld id="{6054334d-8694-4fc9-ae60-5706d75eb62e}" type="CELLRANGE">
                      <a:t>[CELLRANGE]</a:t>
                    </a:fld>
                    <a:endParaRPr b="0" i="0" u="none" strike="noStrike" baseline="0">
                      <a:latin typeface="Times New Roman" panose="02020603050405020304" charset="0"/>
                      <a:ea typeface="Times New Roman" panose="02020603050405020304" charset="0"/>
                      <a:cs typeface="+mn-ea"/>
                    </a:endParaRPr>
                  </a:p>
                </c:rich>
              </c:tx>
              <c:numFmt formatCode="#,##0.00_ "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158921261738502"/>
                  <c:y val="-7.56785203201188e-17"/>
                </c:manualLayout>
              </c:layout>
              <c:tx>
                <c:rich>
                  <a:bodyPr rot="0" spcFirstLastPara="1" vertOverflow="ellipsis" vert="horz" wrap="square" lIns="38100" tIns="19050" rIns="38100" bIns="19050" anchor="ctr" anchorCtr="1"/>
                  <a:lstStyle/>
                  <a:p>
                    <a:fld id="{abe67192-fdf7-436d-a6f2-da786d8d2008}"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156513363833374"/>
                  <c:y val="0"/>
                </c:manualLayout>
              </c:layout>
              <c:tx>
                <c:rich>
                  <a:bodyPr rot="0" spcFirstLastPara="1" vertOverflow="ellipsis" vert="horz" wrap="square" lIns="38100" tIns="19050" rIns="38100" bIns="19050" anchor="ctr" anchorCtr="1"/>
                  <a:lstStyle/>
                  <a:p>
                    <a:fld id="{0a2a0a88-db4e-45ad-a314-f1d2b6c23b63}"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67989371698908"/>
                  <c:y val="0"/>
                </c:manualLayout>
              </c:layout>
              <c:tx>
                <c:rich>
                  <a:bodyPr rot="0" spcFirstLastPara="1" vertOverflow="ellipsis" vert="horz" wrap="square" lIns="38100" tIns="19050" rIns="38100" bIns="19050" anchor="ctr" anchorCtr="1"/>
                  <a:lstStyle/>
                  <a:p>
                    <a:fld id="{1b2df274-f22b-4677-a766-b07ed7a7b7e7}"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168158424641364"/>
                  <c:y val="0"/>
                </c:manualLayout>
              </c:layout>
              <c:tx>
                <c:rich>
                  <a:bodyPr rot="0" spcFirstLastPara="1" vertOverflow="ellipsis" vert="horz" wrap="square" lIns="38100" tIns="19050" rIns="38100" bIns="19050" anchor="ctr" anchorCtr="1"/>
                  <a:lstStyle/>
                  <a:p>
                    <a:fld id="{0628b27a-816e-4b1b-a460-cfa59ee9f26c}"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0.163229966624542"/>
                  <c:y val="1.62096565407151e-17"/>
                </c:manualLayout>
              </c:layout>
              <c:tx>
                <c:rich>
                  <a:bodyPr rot="0" spcFirstLastPara="1" vertOverflow="ellipsis" vert="horz" wrap="square" lIns="38100" tIns="19050" rIns="38100" bIns="19050" anchor="ctr" anchorCtr="1"/>
                  <a:lstStyle/>
                  <a:p>
                    <a:fld id="{0557d1f9-ec5f-4930-b0f0-af2af3b27c38}"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ext>
            </c:extLst>
          </c:dLbls>
          <c:cat>
            <c:strRef>
              <c:f>Sheet1!$A$2:$A$11</c:f>
              <c:strCache>
                <c:ptCount val="10"/>
                <c:pt idx="0">
                  <c:v>组织协调</c:v>
                </c:pt>
                <c:pt idx="1">
                  <c:v>外向主动</c:v>
                </c:pt>
                <c:pt idx="2">
                  <c:v>坚韧自信</c:v>
                </c:pt>
                <c:pt idx="3">
                  <c:v>情绪调节</c:v>
                </c:pt>
                <c:pt idx="4">
                  <c:v>严谨负责</c:v>
                </c:pt>
                <c:pt idx="5">
                  <c:v>创新思维</c:v>
                </c:pt>
                <c:pt idx="6">
                  <c:v>逻辑思维</c:v>
                </c:pt>
                <c:pt idx="7">
                  <c:v>团队意识</c:v>
                </c:pt>
                <c:pt idx="8">
                  <c:v>表达能力</c:v>
                </c:pt>
                <c:pt idx="9">
                  <c:v>主动学习</c:v>
                </c:pt>
              </c:strCache>
            </c:strRef>
          </c:cat>
          <c:val>
            <c:numRef>
              <c:f>Sheet1!$D$2:$D$11</c:f>
              <c:numCache>
                <c:formatCode>General</c:formatCode>
                <c:ptCount val="10"/>
                <c:pt idx="0">
                  <c:v>3.74</c:v>
                </c:pt>
                <c:pt idx="1">
                  <c:v>3.29</c:v>
                </c:pt>
                <c:pt idx="2">
                  <c:v>3.54</c:v>
                </c:pt>
                <c:pt idx="3">
                  <c:v>3.28</c:v>
                </c:pt>
                <c:pt idx="4">
                  <c:v>3.57</c:v>
                </c:pt>
                <c:pt idx="5">
                  <c:v>3.35</c:v>
                </c:pt>
                <c:pt idx="6">
                  <c:v>3.68</c:v>
                </c:pt>
                <c:pt idx="7">
                  <c:v>4.03</c:v>
                </c:pt>
                <c:pt idx="8">
                  <c:v>3.68</c:v>
                </c:pt>
                <c:pt idx="9">
                  <c:v>3.76</c:v>
                </c:pt>
              </c:numCache>
            </c:numRef>
          </c:val>
          <c:extLst>
            <c:ext xmlns:c15="http://schemas.microsoft.com/office/drawing/2012/chart" uri="{02D57815-91ED-43cb-92C2-25804820EDAC}">
              <c15:datalabelsRange>
                <c15:f>Sheet1!$D$2:$D$11</c15:f>
                <c15:dlblRangeCache>
                  <c:ptCount val="10"/>
                  <c:pt idx="0">
                    <c:v>3.74</c:v>
                  </c:pt>
                  <c:pt idx="1">
                    <c:v>3.29</c:v>
                  </c:pt>
                  <c:pt idx="2">
                    <c:v>3.54</c:v>
                  </c:pt>
                  <c:pt idx="3">
                    <c:v>3.28</c:v>
                  </c:pt>
                  <c:pt idx="4">
                    <c:v>3.57</c:v>
                  </c:pt>
                  <c:pt idx="5">
                    <c:v>3.35</c:v>
                  </c:pt>
                  <c:pt idx="6">
                    <c:v>3.68</c:v>
                  </c:pt>
                  <c:pt idx="7">
                    <c:v>4.03</c:v>
                  </c:pt>
                  <c:pt idx="8">
                    <c:v>3.68</c:v>
                  </c:pt>
                  <c:pt idx="9">
                    <c:v>3.76</c:v>
                  </c:pt>
                </c15:dlblRangeCache>
              </c15:datalabelsRange>
            </c:ext>
          </c:extLst>
        </c:ser>
        <c:dLbls>
          <c:showLegendKey val="0"/>
          <c:showVal val="0"/>
          <c:showCatName val="0"/>
          <c:showSerName val="0"/>
          <c:showPercent val="0"/>
          <c:showBubbleSize val="0"/>
        </c:dLbls>
        <c:gapWidth val="110"/>
        <c:overlap val="100"/>
        <c:axId val="1668353088"/>
        <c:axId val="1668349824"/>
      </c:barChart>
      <c:catAx>
        <c:axId val="1668353088"/>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68349824"/>
        <c:crosses val="autoZero"/>
        <c:auto val="1"/>
        <c:lblAlgn val="ctr"/>
        <c:lblOffset val="100"/>
        <c:noMultiLvlLbl val="0"/>
      </c:catAx>
      <c:valAx>
        <c:axId val="166834982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68353088"/>
        <c:crosses val="autoZero"/>
        <c:crossBetween val="between"/>
      </c:valAx>
      <c:spPr>
        <a:noFill/>
        <a:ln>
          <a:noFill/>
        </a:ln>
        <a:effectLst/>
      </c:spPr>
    </c:plotArea>
    <c:legend>
      <c:legendPos val="t"/>
      <c:legendEntry>
        <c:idx val="1"/>
        <c:delete val="1"/>
      </c:legendEntry>
      <c:layout>
        <c:manualLayout>
          <c:xMode val="edge"/>
          <c:yMode val="edge"/>
          <c:x val="0.269169616499599"/>
          <c:y val="0.0247678018575851"/>
          <c:w val="0.456844781592284"/>
          <c:h val="0.069659930279612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5393492480107"/>
          <c:y val="0.115067567018519"/>
          <c:w val="0.847600901739134"/>
          <c:h val="0.839524796242575"/>
        </c:manualLayout>
      </c:layout>
      <c:barChart>
        <c:barDir val="bar"/>
        <c:grouping val="stacked"/>
        <c:varyColors val="0"/>
        <c:ser>
          <c:idx val="0"/>
          <c:order val="0"/>
          <c:tx>
            <c:strRef>
              <c:f>Sheet1!$B$1</c:f>
              <c:strCache>
                <c:ptCount val="1"/>
                <c:pt idx="0">
                  <c:v>重要度</c:v>
                </c:pt>
              </c:strCache>
            </c:strRef>
          </c:tx>
          <c:spPr>
            <a:solidFill>
              <a:schemeClr val="accent1"/>
            </a:solidFill>
            <a:ln>
              <a:noFill/>
            </a:ln>
            <a:effectLst/>
          </c:spPr>
          <c:invertIfNegative val="0"/>
          <c:dLbls>
            <c:dLbl>
              <c:idx val="0"/>
              <c:layout>
                <c:manualLayout>
                  <c:x val="-0.158921166939372"/>
                  <c:y val="0"/>
                </c:manualLayout>
              </c:layout>
              <c:tx>
                <c:rich>
                  <a:bodyPr rot="0" spcFirstLastPara="1" vertOverflow="ellipsis" vert="horz" wrap="square" lIns="38100" tIns="19050" rIns="38100" bIns="19050" anchor="ctr" anchorCtr="1">
                    <a:noAutofit/>
                  </a:bodyPr>
                  <a:lstStyle/>
                  <a:p>
                    <a:fld id="{03b63647-09cc-432e-9346-4b461855a55a}" type="CELLRANGE">
                      <a:t>[CELLRANGE]</a:t>
                    </a:fld>
                    <a:endParaRPr b="0" i="0" u="none" strike="noStrike" baseline="0">
                      <a:latin typeface="Times New Roman" panose="02020603050405020304" charset="0"/>
                      <a:ea typeface="Times New Roman" panose="02020603050405020304" charset="0"/>
                      <a:cs typeface="+mn-ea"/>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56513363833373"/>
                  <c:y val="0"/>
                </c:manualLayout>
              </c:layout>
              <c:tx>
                <c:rich>
                  <a:bodyPr rot="0" spcFirstLastPara="1" vertOverflow="ellipsis" vert="horz" wrap="square" lIns="38100" tIns="19050" rIns="38100" bIns="19050" anchor="ctr" anchorCtr="1"/>
                  <a:lstStyle/>
                  <a:p>
                    <a:fld id="{a7679d72-04e0-4135-b932-96f8dea2541e}"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158921261738502"/>
                  <c:y val="0.00412796697626419"/>
                </c:manualLayout>
              </c:layout>
              <c:tx>
                <c:rich>
                  <a:bodyPr rot="0" spcFirstLastPara="1" vertOverflow="ellipsis" vert="horz" wrap="square" lIns="38100" tIns="19050" rIns="38100" bIns="19050" anchor="ctr" anchorCtr="1"/>
                  <a:lstStyle/>
                  <a:p>
                    <a:fld id="{f05aa757-a036-4a4c-85b0-4ccec65b577a}"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156513363833373"/>
                  <c:y val="0.00412796697626419"/>
                </c:manualLayout>
              </c:layout>
              <c:tx>
                <c:rich>
                  <a:bodyPr rot="0" spcFirstLastPara="1" vertOverflow="ellipsis" vert="horz" wrap="square" lIns="38100" tIns="19050" rIns="38100" bIns="19050" anchor="ctr" anchorCtr="1"/>
                  <a:lstStyle/>
                  <a:p>
                    <a:fld id="{7e4590d6-ef1c-4d1c-afd3-ef2200be1210}"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157717407585068"/>
                  <c:y val="-0.00206365845136231"/>
                </c:manualLayout>
              </c:layout>
              <c:tx>
                <c:rich>
                  <a:bodyPr rot="0" spcFirstLastPara="1" vertOverflow="ellipsis" vert="horz" wrap="square" lIns="38100" tIns="19050" rIns="38100" bIns="19050" anchor="ctr" anchorCtr="1">
                    <a:noAutofit/>
                  </a:bodyPr>
                  <a:lstStyle/>
                  <a:p>
                    <a:fld id="{0853b78d-c844-459b-9b11-9a816c8625bc}" type="CELLRANGE">
                      <a:t>[CELLRANGE]</a:t>
                    </a:fld>
                    <a:endParaRPr b="0" i="0" u="none" strike="noStrike" baseline="0">
                      <a:latin typeface="Times New Roman" panose="02020603050405020304" charset="0"/>
                      <a:ea typeface="Times New Roman" panose="02020603050405020304" charset="0"/>
                      <a:cs typeface="+mn-ea"/>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154105465928245"/>
                  <c:y val="7.56785203201188e-17"/>
                </c:manualLayout>
              </c:layout>
              <c:tx>
                <c:rich>
                  <a:bodyPr rot="0" spcFirstLastPara="1" vertOverflow="ellipsis" vert="horz" wrap="square" lIns="38100" tIns="19050" rIns="38100" bIns="19050" anchor="ctr" anchorCtr="1"/>
                  <a:lstStyle/>
                  <a:p>
                    <a:fld id="{870ca3be-0a92-4e1d-94cf-01584c0648a3}"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158921261738502"/>
                  <c:y val="0"/>
                </c:manualLayout>
              </c:layout>
              <c:tx>
                <c:rich>
                  <a:bodyPr rot="0" spcFirstLastPara="1" vertOverflow="ellipsis" vert="horz" wrap="square" lIns="38100" tIns="19050" rIns="38100" bIns="19050" anchor="ctr" anchorCtr="1"/>
                  <a:lstStyle/>
                  <a:p>
                    <a:fld id="{893f2602-d492-4cb2-a930-83cd417af70b}"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6373705754876"/>
                  <c:y val="0"/>
                </c:manualLayout>
              </c:layout>
              <c:tx>
                <c:rich>
                  <a:bodyPr rot="0" spcFirstLastPara="1" vertOverflow="ellipsis" vert="horz" wrap="square" lIns="38100" tIns="19050" rIns="38100" bIns="19050" anchor="ctr" anchorCtr="1"/>
                  <a:lstStyle/>
                  <a:p>
                    <a:fld id="{45ec3256-b87d-4f93-ae3e-0766851439ab}"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156513363833373"/>
                  <c:y val="3.78392601600594e-17"/>
                </c:manualLayout>
              </c:layout>
              <c:tx>
                <c:rich>
                  <a:bodyPr rot="0" spcFirstLastPara="1" vertOverflow="ellipsis" vert="horz" wrap="square" lIns="38100" tIns="19050" rIns="38100" bIns="19050" anchor="ctr" anchorCtr="1"/>
                  <a:lstStyle/>
                  <a:p>
                    <a:fld id="{1b92e090-ca5b-48f1-938b-6a86b21ceea3}"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0.156513363833373"/>
                  <c:y val="3.25036769803502e-7"/>
                </c:manualLayout>
              </c:layout>
              <c:tx>
                <c:rich>
                  <a:bodyPr rot="0" spcFirstLastPara="1" vertOverflow="ellipsis" vert="horz" wrap="square" lIns="38100" tIns="19050" rIns="38100" bIns="19050" anchor="ctr" anchorCtr="1"/>
                  <a:lstStyle/>
                  <a:p>
                    <a:fld id="{28b817d2-45d3-4548-89e3-d906a7c22b48}"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ext>
            </c:extLst>
          </c:dLbls>
          <c:cat>
            <c:strRef>
              <c:f>Sheet1!$A$2:$A$11</c:f>
              <c:strCache>
                <c:ptCount val="10"/>
                <c:pt idx="0">
                  <c:v>组织协调</c:v>
                </c:pt>
                <c:pt idx="1">
                  <c:v>坚韧自信</c:v>
                </c:pt>
                <c:pt idx="2">
                  <c:v>创新思维</c:v>
                </c:pt>
                <c:pt idx="3">
                  <c:v>情绪调节</c:v>
                </c:pt>
                <c:pt idx="4">
                  <c:v>逻辑思维</c:v>
                </c:pt>
                <c:pt idx="5">
                  <c:v>善于观察</c:v>
                </c:pt>
                <c:pt idx="6">
                  <c:v>团队意识</c:v>
                </c:pt>
                <c:pt idx="7">
                  <c:v>严谨负责</c:v>
                </c:pt>
                <c:pt idx="8">
                  <c:v>表达能力</c:v>
                </c:pt>
                <c:pt idx="9">
                  <c:v>主动学习</c:v>
                </c:pt>
              </c:strCache>
            </c:strRef>
          </c:cat>
          <c:val>
            <c:numRef>
              <c:f>Sheet1!$B$2:$B$11</c:f>
              <c:numCache>
                <c:formatCode>General</c:formatCode>
                <c:ptCount val="10"/>
                <c:pt idx="0">
                  <c:v>-3.19128329297821</c:v>
                </c:pt>
                <c:pt idx="1">
                  <c:v>-3.19612590799031</c:v>
                </c:pt>
                <c:pt idx="2">
                  <c:v>-3.22760290556901</c:v>
                </c:pt>
                <c:pt idx="3">
                  <c:v>-3.23002421307506</c:v>
                </c:pt>
                <c:pt idx="4">
                  <c:v>-3.2590799031477</c:v>
                </c:pt>
                <c:pt idx="5">
                  <c:v>-3.29055690072639</c:v>
                </c:pt>
                <c:pt idx="6">
                  <c:v>-3.29297820823245</c:v>
                </c:pt>
                <c:pt idx="7">
                  <c:v>-3.30992736077482</c:v>
                </c:pt>
                <c:pt idx="8">
                  <c:v>-3.38014527845036</c:v>
                </c:pt>
                <c:pt idx="9">
                  <c:v>-3.46973365617433</c:v>
                </c:pt>
              </c:numCache>
            </c:numRef>
          </c:val>
          <c:extLst>
            <c:ext xmlns:c15="http://schemas.microsoft.com/office/drawing/2012/chart" uri="{02D57815-91ED-43cb-92C2-25804820EDAC}">
              <c15:datalabelsRange>
                <c15:f>Sheet1!$E$2:$E$11</c15:f>
                <c15:dlblRangeCache>
                  <c:ptCount val="10"/>
                  <c:pt idx="0">
                    <c:v>19.13%</c:v>
                  </c:pt>
                  <c:pt idx="1">
                    <c:v>19.61%</c:v>
                  </c:pt>
                  <c:pt idx="2">
                    <c:v>22.76%</c:v>
                  </c:pt>
                  <c:pt idx="3">
                    <c:v>23.00%</c:v>
                  </c:pt>
                  <c:pt idx="4">
                    <c:v>25.91%</c:v>
                  </c:pt>
                  <c:pt idx="5">
                    <c:v>29.06%</c:v>
                  </c:pt>
                  <c:pt idx="6">
                    <c:v>29.30%</c:v>
                  </c:pt>
                  <c:pt idx="7">
                    <c:v>30.99%</c:v>
                  </c:pt>
                  <c:pt idx="8">
                    <c:v>38.01%</c:v>
                  </c:pt>
                  <c:pt idx="9">
                    <c:v>46.97%</c:v>
                  </c:pt>
                </c15:dlblRangeCache>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Sheet1!$A$2:$A$11</c:f>
              <c:strCache>
                <c:ptCount val="10"/>
                <c:pt idx="0">
                  <c:v>组织协调</c:v>
                </c:pt>
                <c:pt idx="1">
                  <c:v>坚韧自信</c:v>
                </c:pt>
                <c:pt idx="2">
                  <c:v>创新思维</c:v>
                </c:pt>
                <c:pt idx="3">
                  <c:v>情绪调节</c:v>
                </c:pt>
                <c:pt idx="4">
                  <c:v>逻辑思维</c:v>
                </c:pt>
                <c:pt idx="5">
                  <c:v>善于观察</c:v>
                </c:pt>
                <c:pt idx="6">
                  <c:v>团队意识</c:v>
                </c:pt>
                <c:pt idx="7">
                  <c:v>严谨负责</c:v>
                </c:pt>
                <c:pt idx="8">
                  <c:v>表达能力</c:v>
                </c:pt>
                <c:pt idx="9">
                  <c:v>主动学习</c:v>
                </c:pt>
              </c:strCache>
            </c:strRef>
          </c:cat>
          <c:val>
            <c:numRef>
              <c:f>Sheet1!$C$2:$C$11</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2"/>
          <c:order val="2"/>
          <c:tx>
            <c:strRef>
              <c:f>Sheet1!$D$1</c:f>
              <c:strCache>
                <c:ptCount val="1"/>
                <c:pt idx="0">
                  <c:v>水平</c:v>
                </c:pt>
              </c:strCache>
            </c:strRef>
          </c:tx>
          <c:spPr>
            <a:solidFill>
              <a:srgbClr val="92D050"/>
            </a:solidFill>
            <a:ln>
              <a:noFill/>
            </a:ln>
            <a:effectLst/>
          </c:spPr>
          <c:invertIfNegative val="0"/>
          <c:dLbls>
            <c:dLbl>
              <c:idx val="0"/>
              <c:layout>
                <c:manualLayout>
                  <c:x val="0.160878408717429"/>
                  <c:y val="0.00619199788355355"/>
                </c:manualLayout>
              </c:layout>
              <c:tx>
                <c:rich>
                  <a:bodyPr rot="0" spcFirstLastPara="1" vertOverflow="ellipsis" vert="horz" wrap="square" lIns="38100" tIns="19050" rIns="38100" bIns="19050" anchor="ctr" anchorCtr="1">
                    <a:noAutofit/>
                  </a:bodyPr>
                  <a:lstStyle/>
                  <a:p>
                    <a:fld id="{53fc0db9-3002-4ec2-b92b-221ebb528454}" type="CELLRANGE">
                      <a:t>[CELLRANGE]</a:t>
                    </a:fld>
                    <a:endParaRPr b="0" i="0" u="none" strike="noStrike" baseline="0">
                      <a:latin typeface="Times New Roman" panose="02020603050405020304" charset="0"/>
                      <a:ea typeface="Times New Roman" panose="02020603050405020304" charset="0"/>
                      <a:cs typeface="+mn-ea"/>
                    </a:endParaRPr>
                  </a:p>
                </c:rich>
              </c:tx>
              <c:numFmt formatCode="#,##0.00_ "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49289670117987"/>
                  <c:y val="-0.00412796697626419"/>
                </c:manualLayout>
              </c:layout>
              <c:tx>
                <c:rich>
                  <a:bodyPr rot="0" spcFirstLastPara="1" vertOverflow="ellipsis" vert="horz" wrap="square" lIns="38100" tIns="19050" rIns="38100" bIns="19050" anchor="ctr" anchorCtr="1"/>
                  <a:lstStyle/>
                  <a:p>
                    <a:fld id="{c9bdfd22-88b9-4621-92fc-d9026c26ec69}"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151697568023116"/>
                  <c:y val="0.00412796697626419"/>
                </c:manualLayout>
              </c:layout>
              <c:tx>
                <c:rich>
                  <a:bodyPr rot="0" spcFirstLastPara="1" vertOverflow="ellipsis" vert="horz" wrap="square" lIns="38100" tIns="19050" rIns="38100" bIns="19050" anchor="ctr" anchorCtr="1"/>
                  <a:lstStyle/>
                  <a:p>
                    <a:fld id="{291f3c60-6cc8-435b-8f76-3425e67f11b5}"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154105465928245"/>
                  <c:y val="0"/>
                </c:manualLayout>
              </c:layout>
              <c:tx>
                <c:rich>
                  <a:bodyPr rot="0" spcFirstLastPara="1" vertOverflow="ellipsis" vert="horz" wrap="square" lIns="38100" tIns="19050" rIns="38100" bIns="19050" anchor="ctr" anchorCtr="1"/>
                  <a:lstStyle/>
                  <a:p>
                    <a:fld id="{6f2fc59a-3145-4163-8d91-b9799bbc0855}"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162533298194456"/>
                  <c:y val="0.00412796697626419"/>
                </c:manualLayout>
              </c:layout>
              <c:tx>
                <c:rich>
                  <a:bodyPr rot="0" spcFirstLastPara="1" vertOverflow="ellipsis" vert="horz" wrap="square" lIns="38100" tIns="19050" rIns="38100" bIns="19050" anchor="ctr" anchorCtr="1">
                    <a:noAutofit/>
                  </a:bodyPr>
                  <a:lstStyle/>
                  <a:p>
                    <a:fld id="{e59c1dc6-80a1-4e8b-b366-d52e17ea86d8}" type="CELLRANGE">
                      <a:t>[CELLRANGE]</a:t>
                    </a:fld>
                    <a:endParaRPr b="0" i="0" u="none" strike="noStrike" baseline="0">
                      <a:latin typeface="Times New Roman" panose="02020603050405020304" charset="0"/>
                      <a:ea typeface="Times New Roman" panose="02020603050405020304" charset="0"/>
                      <a:cs typeface="+mn-ea"/>
                    </a:endParaRPr>
                  </a:p>
                </c:rich>
              </c:tx>
              <c:numFmt formatCode="#,##0.00_ "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158921261738502"/>
                  <c:y val="-7.56785203201188e-17"/>
                </c:manualLayout>
              </c:layout>
              <c:tx>
                <c:rich>
                  <a:bodyPr rot="0" spcFirstLastPara="1" vertOverflow="ellipsis" vert="horz" wrap="square" lIns="38100" tIns="19050" rIns="38100" bIns="19050" anchor="ctr" anchorCtr="1"/>
                  <a:lstStyle/>
                  <a:p>
                    <a:fld id="{63b524c1-3afc-45ee-86cb-e6ceca7f09f6}"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156513363833374"/>
                  <c:y val="0"/>
                </c:manualLayout>
              </c:layout>
              <c:tx>
                <c:rich>
                  <a:bodyPr rot="0" spcFirstLastPara="1" vertOverflow="ellipsis" vert="horz" wrap="square" lIns="38100" tIns="19050" rIns="38100" bIns="19050" anchor="ctr" anchorCtr="1"/>
                  <a:lstStyle/>
                  <a:p>
                    <a:fld id="{d7fdcc36-fefd-44e3-8a2c-29ed9b70041f}"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44473874307729"/>
                  <c:y val="0"/>
                </c:manualLayout>
              </c:layout>
              <c:tx>
                <c:rich>
                  <a:bodyPr rot="0" spcFirstLastPara="1" vertOverflow="ellipsis" vert="horz" wrap="square" lIns="38100" tIns="19050" rIns="38100" bIns="19050" anchor="ctr" anchorCtr="1"/>
                  <a:lstStyle/>
                  <a:p>
                    <a:fld id="{b275ca08-00fc-4763-8e12-72ef9f00c95f}"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151697568023116"/>
                  <c:y val="-3.78392601600594e-17"/>
                </c:manualLayout>
              </c:layout>
              <c:tx>
                <c:rich>
                  <a:bodyPr rot="0" spcFirstLastPara="1" vertOverflow="ellipsis" vert="horz" wrap="square" lIns="38100" tIns="19050" rIns="38100" bIns="19050" anchor="ctr" anchorCtr="1"/>
                  <a:lstStyle/>
                  <a:p>
                    <a:fld id="{d9c64630-8089-4873-b00b-5d44dc7720b7}"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0.160878408717429"/>
                  <c:y val="0.00353669319186561"/>
                </c:manualLayout>
              </c:layout>
              <c:tx>
                <c:rich>
                  <a:bodyPr rot="0" spcFirstLastPara="1" vertOverflow="ellipsis" vert="horz" wrap="square" lIns="38100" tIns="19050" rIns="38100" bIns="19050" anchor="ctr" anchorCtr="1"/>
                  <a:lstStyle/>
                  <a:p>
                    <a:fld id="{1d5aecb5-7cd1-427e-96cc-2c074eb7816b}" type="CELLRANGE">
                      <a:t>[CELLRANGE]</a:t>
                    </a:fld>
                    <a:endParaRPr b="0" i="0" u="none" strike="noStrike" baseline="0">
                      <a:latin typeface="Times New Roman" panose="02020603050405020304" charset="0"/>
                      <a:ea typeface="Times New Roman" panose="02020603050405020304" charset="0"/>
                      <a:cs typeface="+mn-ea"/>
                    </a:endParaRPr>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ext>
            </c:extLst>
          </c:dLbls>
          <c:cat>
            <c:strRef>
              <c:f>Sheet1!$A$2:$A$11</c:f>
              <c:strCache>
                <c:ptCount val="10"/>
                <c:pt idx="0">
                  <c:v>组织协调</c:v>
                </c:pt>
                <c:pt idx="1">
                  <c:v>坚韧自信</c:v>
                </c:pt>
                <c:pt idx="2">
                  <c:v>创新思维</c:v>
                </c:pt>
                <c:pt idx="3">
                  <c:v>情绪调节</c:v>
                </c:pt>
                <c:pt idx="4">
                  <c:v>逻辑思维</c:v>
                </c:pt>
                <c:pt idx="5">
                  <c:v>善于观察</c:v>
                </c:pt>
                <c:pt idx="6">
                  <c:v>团队意识</c:v>
                </c:pt>
                <c:pt idx="7">
                  <c:v>严谨负责</c:v>
                </c:pt>
                <c:pt idx="8">
                  <c:v>表达能力</c:v>
                </c:pt>
                <c:pt idx="9">
                  <c:v>主动学习</c:v>
                </c:pt>
              </c:strCache>
            </c:strRef>
          </c:cat>
          <c:val>
            <c:numRef>
              <c:f>Sheet1!$D$2:$D$11</c:f>
              <c:numCache>
                <c:formatCode>General</c:formatCode>
                <c:ptCount val="10"/>
                <c:pt idx="0">
                  <c:v>3.53</c:v>
                </c:pt>
                <c:pt idx="1">
                  <c:v>3.53</c:v>
                </c:pt>
                <c:pt idx="2">
                  <c:v>3.32</c:v>
                </c:pt>
                <c:pt idx="3">
                  <c:v>3.15</c:v>
                </c:pt>
                <c:pt idx="4">
                  <c:v>3.55</c:v>
                </c:pt>
                <c:pt idx="5">
                  <c:v>3.6</c:v>
                </c:pt>
                <c:pt idx="6">
                  <c:v>3.84</c:v>
                </c:pt>
                <c:pt idx="7">
                  <c:v>3.44</c:v>
                </c:pt>
                <c:pt idx="8">
                  <c:v>3.66</c:v>
                </c:pt>
                <c:pt idx="9">
                  <c:v>3.66</c:v>
                </c:pt>
              </c:numCache>
            </c:numRef>
          </c:val>
          <c:extLst>
            <c:ext xmlns:c15="http://schemas.microsoft.com/office/drawing/2012/chart" uri="{02D57815-91ED-43cb-92C2-25804820EDAC}">
              <c15:datalabelsRange>
                <c15:f>Sheet1!$D$2:$D$11</c15:f>
                <c15:dlblRangeCache>
                  <c:ptCount val="10"/>
                  <c:pt idx="0">
                    <c:v>3.53</c:v>
                  </c:pt>
                  <c:pt idx="1">
                    <c:v>3.53</c:v>
                  </c:pt>
                  <c:pt idx="2">
                    <c:v>3.32</c:v>
                  </c:pt>
                  <c:pt idx="3">
                    <c:v>3.15</c:v>
                  </c:pt>
                  <c:pt idx="4">
                    <c:v>3.55</c:v>
                  </c:pt>
                  <c:pt idx="5">
                    <c:v>3.6</c:v>
                  </c:pt>
                  <c:pt idx="6">
                    <c:v>3.84</c:v>
                  </c:pt>
                  <c:pt idx="7">
                    <c:v>3.44</c:v>
                  </c:pt>
                  <c:pt idx="8">
                    <c:v>3.66</c:v>
                  </c:pt>
                  <c:pt idx="9">
                    <c:v>3.66</c:v>
                  </c:pt>
                </c15:dlblRangeCache>
              </c15:datalabelsRange>
            </c:ext>
          </c:extLst>
        </c:ser>
        <c:dLbls>
          <c:showLegendKey val="0"/>
          <c:showVal val="0"/>
          <c:showCatName val="0"/>
          <c:showSerName val="0"/>
          <c:showPercent val="0"/>
          <c:showBubbleSize val="0"/>
        </c:dLbls>
        <c:gapWidth val="110"/>
        <c:overlap val="100"/>
        <c:axId val="1668353088"/>
        <c:axId val="1668349824"/>
      </c:barChart>
      <c:catAx>
        <c:axId val="1668353088"/>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68349824"/>
        <c:crosses val="autoZero"/>
        <c:auto val="1"/>
        <c:lblAlgn val="ctr"/>
        <c:lblOffset val="100"/>
        <c:noMultiLvlLbl val="0"/>
      </c:catAx>
      <c:valAx>
        <c:axId val="166834982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68353088"/>
        <c:crosses val="autoZero"/>
        <c:crossBetween val="between"/>
      </c:valAx>
      <c:spPr>
        <a:noFill/>
        <a:ln>
          <a:noFill/>
        </a:ln>
        <a:effectLst/>
      </c:spPr>
    </c:plotArea>
    <c:legend>
      <c:legendPos val="t"/>
      <c:legendEntry>
        <c:idx val="1"/>
        <c:delete val="1"/>
      </c:legendEntry>
      <c:layout>
        <c:manualLayout>
          <c:xMode val="edge"/>
          <c:yMode val="edge"/>
          <c:x val="0.269169616499599"/>
          <c:y val="0.0247678018575851"/>
          <c:w val="0.456844781592284"/>
          <c:h val="0.069659930279612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459461719015"/>
          <c:y val="0.0731609836324108"/>
          <c:w val="0.80988913090967"/>
          <c:h val="0.799716048152209"/>
        </c:manualLayout>
      </c:layout>
      <c:barChart>
        <c:barDir val="col"/>
        <c:grouping val="clustered"/>
        <c:varyColors val="0"/>
        <c:ser>
          <c:idx val="0"/>
          <c:order val="0"/>
          <c:tx>
            <c:strRef>
              <c:f>Sheet1!$B$1</c:f>
              <c:strCache>
                <c:ptCount val="1"/>
                <c:pt idx="0">
                  <c:v>落实率</c:v>
                </c:pt>
              </c:strCache>
            </c:strRef>
          </c:tx>
          <c:spPr>
            <a:blipFill>
              <a:blip xmlns:r="http://schemas.openxmlformats.org/officeDocument/2006/relationships" r:embed="rId2"/>
              <a:stretch>
                <a:fillRect/>
              </a:stretch>
            </a:blipFill>
          </c:spPr>
          <c:invertIfNegative val="1"/>
          <c:dPt>
            <c:idx val="0"/>
            <c:invertIfNegative val="1"/>
            <c:bubble3D val="0"/>
            <c:spPr>
              <a:solidFill>
                <a:schemeClr val="accent1"/>
              </a:solidFill>
            </c:spPr>
          </c:dPt>
          <c:dPt>
            <c:idx val="1"/>
            <c:invertIfNegative val="1"/>
            <c:bubble3D val="0"/>
            <c:spPr>
              <a:solidFill>
                <a:schemeClr val="accent3"/>
              </a:solidFill>
            </c:spPr>
          </c:dPt>
          <c:dPt>
            <c:idx val="2"/>
            <c:invertIfNegative val="1"/>
            <c:bubble3D val="0"/>
            <c:spPr>
              <a:solidFill>
                <a:srgbClr val="92D050"/>
              </a:solidFill>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专科毕业生</c:v>
                </c:pt>
                <c:pt idx="1">
                  <c:v>本科毕业生</c:v>
                </c:pt>
                <c:pt idx="2">
                  <c:v>总体</c:v>
                </c:pt>
              </c:strCache>
            </c:strRef>
          </c:cat>
          <c:val>
            <c:numRef>
              <c:f>Sheet1!$B$2:$B$4</c:f>
              <c:numCache>
                <c:formatCode>0.00%</c:formatCode>
                <c:ptCount val="3"/>
                <c:pt idx="0">
                  <c:v>0.926136363636364</c:v>
                </c:pt>
                <c:pt idx="1">
                  <c:v>0.895429362880886</c:v>
                </c:pt>
                <c:pt idx="2">
                  <c:v>0.907064</c:v>
                </c:pt>
              </c:numCache>
            </c:numRef>
          </c:val>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85952072"/>
        <c:crosses val="autoZero"/>
        <c:auto val="1"/>
        <c:lblAlgn val="ctr"/>
        <c:lblOffset val="100"/>
        <c:noMultiLvlLbl val="0"/>
      </c:catAx>
      <c:valAx>
        <c:axId val="98595207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
          <c:y val="0.0232192757769578"/>
          <c:w val="0.775799911732714"/>
          <c:h val="0.561725725945639"/>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delete val="1"/>
          </c:dLbls>
          <c:cat>
            <c:strRef>
              <c:f>Sheet1!$A$2:$A$7</c:f>
              <c:strCache>
                <c:ptCount val="6"/>
                <c:pt idx="0">
                  <c:v>就业手续办理（如档案迁移等）</c:v>
                </c:pt>
                <c:pt idx="1">
                  <c:v>生涯规划/就业指导课</c:v>
                </c:pt>
                <c:pt idx="2">
                  <c:v>职业咨询与辅导</c:v>
                </c:pt>
                <c:pt idx="3">
                  <c:v>学校发布的招聘信息</c:v>
                </c:pt>
                <c:pt idx="4">
                  <c:v>校园招聘会/宣讲会</c:v>
                </c:pt>
                <c:pt idx="5">
                  <c:v>就业帮扶与推荐</c:v>
                </c:pt>
              </c:strCache>
            </c:strRef>
          </c:cat>
          <c:val>
            <c:numRef>
              <c:f>Sheet1!$B$2:$B$7</c:f>
              <c:numCache>
                <c:formatCode>0.00%</c:formatCode>
                <c:ptCount val="6"/>
                <c:pt idx="0">
                  <c:v>0.967261904761905</c:v>
                </c:pt>
                <c:pt idx="1">
                  <c:v>0.952428146679881</c:v>
                </c:pt>
                <c:pt idx="2">
                  <c:v>0.935387673956262</c:v>
                </c:pt>
                <c:pt idx="3">
                  <c:v>0.937437934458789</c:v>
                </c:pt>
                <c:pt idx="4">
                  <c:v>0.930624380574827</c:v>
                </c:pt>
                <c:pt idx="5">
                  <c:v>0.925373134328358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专科毕业生</c:v>
                </c:pt>
              </c:strCache>
            </c:strRef>
          </c:tx>
          <c:spPr>
            <a:solidFill>
              <a:srgbClr val="0BD0D9"/>
            </a:solidFill>
            <a:ln>
              <a:noFill/>
            </a:ln>
            <a:effectLst/>
          </c:spPr>
          <c:invertIfNegative val="1"/>
          <c:dLbls>
            <c:delete val="1"/>
          </c:dLbls>
          <c:cat>
            <c:strRef>
              <c:f>Sheet1!$A$2:$A$7</c:f>
              <c:strCache>
                <c:ptCount val="6"/>
                <c:pt idx="0">
                  <c:v>就业手续办理（如档案迁移等）</c:v>
                </c:pt>
                <c:pt idx="1">
                  <c:v>生涯规划/就业指导课</c:v>
                </c:pt>
                <c:pt idx="2">
                  <c:v>职业咨询与辅导</c:v>
                </c:pt>
                <c:pt idx="3">
                  <c:v>学校发布的招聘信息</c:v>
                </c:pt>
                <c:pt idx="4">
                  <c:v>校园招聘会/宣讲会</c:v>
                </c:pt>
                <c:pt idx="5">
                  <c:v>就业帮扶与推荐</c:v>
                </c:pt>
              </c:strCache>
            </c:strRef>
          </c:cat>
          <c:val>
            <c:numRef>
              <c:f>Sheet1!$C$2:$C$7</c:f>
              <c:numCache>
                <c:formatCode>0.00%</c:formatCode>
                <c:ptCount val="6"/>
                <c:pt idx="0">
                  <c:v>0.933806146572104</c:v>
                </c:pt>
                <c:pt idx="1">
                  <c:v>0.94811320754717</c:v>
                </c:pt>
                <c:pt idx="2">
                  <c:v>0.934117647058823</c:v>
                </c:pt>
                <c:pt idx="3">
                  <c:v>0.910377358490566</c:v>
                </c:pt>
                <c:pt idx="4">
                  <c:v>0.912941176470588</c:v>
                </c:pt>
                <c:pt idx="5">
                  <c:v>0.911904761904762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总体</c:v>
                </c:pt>
              </c:strCache>
            </c:strRef>
          </c:tx>
          <c:spPr>
            <a:solidFill>
              <a:srgbClr val="92D050"/>
            </a:solidFill>
            <a:ln>
              <a:noFill/>
            </a:ln>
            <a:effectLst/>
          </c:spPr>
          <c:invertIfNegative val="1"/>
          <c:dLbls>
            <c:delete val="1"/>
          </c:dLbls>
          <c:cat>
            <c:strRef>
              <c:f>Sheet1!$A$2:$A$7</c:f>
              <c:strCache>
                <c:ptCount val="6"/>
                <c:pt idx="0">
                  <c:v>就业手续办理（如档案迁移等）</c:v>
                </c:pt>
                <c:pt idx="1">
                  <c:v>生涯规划/就业指导课</c:v>
                </c:pt>
                <c:pt idx="2">
                  <c:v>职业咨询与辅导</c:v>
                </c:pt>
                <c:pt idx="3">
                  <c:v>学校发布的招聘信息</c:v>
                </c:pt>
                <c:pt idx="4">
                  <c:v>校园招聘会/宣讲会</c:v>
                </c:pt>
                <c:pt idx="5">
                  <c:v>就业帮扶与推荐</c:v>
                </c:pt>
              </c:strCache>
            </c:strRef>
          </c:cat>
          <c:val>
            <c:numRef>
              <c:f>Sheet1!$D$2:$D$7</c:f>
              <c:numCache>
                <c:formatCode>0.00%</c:formatCode>
                <c:ptCount val="6"/>
                <c:pt idx="0">
                  <c:v>0.957372466806429</c:v>
                </c:pt>
                <c:pt idx="1">
                  <c:v>0.951151430565248</c:v>
                </c:pt>
                <c:pt idx="2">
                  <c:v>0.935010482180293</c:v>
                </c:pt>
                <c:pt idx="3">
                  <c:v>0.92941998602376</c:v>
                </c:pt>
                <c:pt idx="4">
                  <c:v>0.925383542538354</c:v>
                </c:pt>
                <c:pt idx="5">
                  <c:v>0.92140350877193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60032"/>
        <c:crosses val="autoZero"/>
        <c:auto val="1"/>
        <c:lblAlgn val="ctr"/>
        <c:lblOffset val="100"/>
        <c:noMultiLvlLbl val="0"/>
      </c:catAx>
      <c:valAx>
        <c:axId val="607560032"/>
        <c:scaling>
          <c:orientation val="minMax"/>
          <c:max val="1"/>
          <c:min val="0.9"/>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7559640"/>
        <c:crosses val="autoZero"/>
        <c:crossBetween val="between"/>
        <c:majorUnit val="0.05"/>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726415376785"/>
          <c:y val="0.253701493591328"/>
          <c:w val="0.503459218541079"/>
          <c:h val="0.717294047921429"/>
        </c:manualLayout>
      </c:layout>
      <c:doughnutChart>
        <c:varyColors val="1"/>
        <c:ser>
          <c:idx val="0"/>
          <c:order val="0"/>
          <c:tx>
            <c:strRef>
              <c:f>Sheet1!$B$1</c:f>
              <c:strCache>
                <c:ptCount val="1"/>
                <c:pt idx="0">
                  <c:v>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49746764413069"/>
                  <c:y val="0.00122147287642854"/>
                </c:manualLayout>
              </c:layout>
              <c:showLegendKey val="0"/>
              <c:showVal val="1"/>
              <c:showCatName val="1"/>
              <c:showSerName val="0"/>
              <c:showPercent val="0"/>
              <c:showBubbleSize val="0"/>
              <c:extLst>
                <c:ext xmlns:c15="http://schemas.microsoft.com/office/drawing/2012/chart" uri="{CE6537A1-D6FC-4f65-9D91-7224C49458BB}">
                  <c15:layout>
                    <c:manualLayout>
                      <c:w val="0.257360243155313"/>
                      <c:h val="0.321613185448593"/>
                    </c:manualLayout>
                  </c15:layout>
                </c:ext>
              </c:extLst>
            </c:dLbl>
            <c:dLbl>
              <c:idx val="1"/>
              <c:layout>
                <c:manualLayout>
                  <c:x val="-0.188703739662135"/>
                  <c:y val="0.0187599130753816"/>
                </c:manualLayout>
              </c:layout>
              <c:showLegendKey val="0"/>
              <c:showVal val="1"/>
              <c:showCatName val="1"/>
              <c:showSerName val="0"/>
              <c:showPercent val="0"/>
              <c:showBubbleSize val="0"/>
              <c:extLst>
                <c:ext xmlns:c15="http://schemas.microsoft.com/office/drawing/2012/chart" uri="{CE6537A1-D6FC-4f65-9D91-7224C49458BB}">
                  <c15:layout>
                    <c:manualLayout>
                      <c:w val="0.313260999647314"/>
                      <c:h val="0.307276267885869"/>
                    </c:manualLayout>
                  </c15:layout>
                </c:ext>
              </c:extLst>
            </c:dLbl>
            <c:dLbl>
              <c:idx val="2"/>
              <c:layout>
                <c:manualLayout>
                  <c:x val="-0.146439681991013"/>
                  <c:y val="-0.0979800619093017"/>
                </c:manualLayout>
              </c:layout>
              <c:showLegendKey val="0"/>
              <c:showVal val="1"/>
              <c:showCatName val="1"/>
              <c:showSerName val="0"/>
              <c:showPercent val="0"/>
              <c:showBubbleSize val="0"/>
              <c:extLst>
                <c:ext xmlns:c15="http://schemas.microsoft.com/office/drawing/2012/chart" uri="{CE6537A1-D6FC-4f65-9D91-7224C49458BB}">
                  <c15:layout>
                    <c:manualLayout>
                      <c:w val="0.352289884247609"/>
                      <c:h val="0.278602432760421"/>
                    </c:manualLayout>
                  </c15:layout>
                </c:ext>
              </c:extLst>
            </c:dLbl>
            <c:dLbl>
              <c:idx val="3"/>
              <c:layout>
                <c:manualLayout>
                  <c:x val="-0.000695814768746717"/>
                  <c:y val="-0.190229864764662"/>
                </c:manualLayout>
              </c:layout>
              <c:showLegendKey val="0"/>
              <c:showVal val="1"/>
              <c:showCatName val="1"/>
              <c:showSerName val="0"/>
              <c:showPercent val="0"/>
              <c:showBubbleSize val="0"/>
              <c:extLst>
                <c:ext xmlns:c15="http://schemas.microsoft.com/office/drawing/2012/chart" uri="{CE6537A1-D6FC-4f65-9D91-7224C49458BB}">
                  <c15:layout>
                    <c:manualLayout>
                      <c:w val="0.315484838505107"/>
                      <c:h val="0.121989101138142"/>
                    </c:manualLayout>
                  </c15:layout>
                </c:ext>
              </c:extLst>
            </c:dLbl>
            <c:dLbl>
              <c:idx val="4"/>
              <c:layout>
                <c:manualLayout>
                  <c:x val="0.190581392500497"/>
                  <c:y val="-0.073193272365618"/>
                </c:manualLayout>
              </c:layout>
              <c:tx>
                <c:rich>
                  <a:bodyPr rot="0" spcFirstLastPara="1" vertOverflow="ellipsis" vert="horz" wrap="square" lIns="38100" tIns="19050" rIns="38100" bIns="19050" anchor="ctr" anchorCtr="1"/>
                  <a:lstStyle/>
                  <a:p>
                    <a:fld id="{31f5757a-b7d6-4fce-b1f7-7031d9ef07d7}" type="CATEGORYNAME">
                      <a:t>[CATEGORY NAME]</a:t>
                    </a:fld>
                    <a:r>
                      <a:t>,</a:t>
                    </a:r>
                    <a:fld id="{33fa3ec5-7fbe-4951-844d-b8d33e9c3608}"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c:spPr>
                </c15:leaderLines>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0.705521472392638</c:v>
                </c:pt>
                <c:pt idx="1">
                  <c:v>0.214723926380368</c:v>
                </c:pt>
                <c:pt idx="2">
                  <c:v>0.0674846625766871</c:v>
                </c:pt>
                <c:pt idx="3">
                  <c:v>0.00613496932515337</c:v>
                </c:pt>
                <c:pt idx="4">
                  <c:v>0.00613496932515337</c:v>
                </c:pt>
              </c:numCache>
            </c:numRef>
          </c:val>
        </c:ser>
        <c:dLbls>
          <c:showLegendKey val="0"/>
          <c:showVal val="1"/>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
          <c:y val="0.205869105071543"/>
          <c:w val="0.503459218541079"/>
          <c:h val="0.717294047921429"/>
        </c:manualLayout>
      </c:layout>
      <c:doughnutChart>
        <c:varyColors val="1"/>
        <c:ser>
          <c:idx val="0"/>
          <c:order val="0"/>
          <c:tx>
            <c:strRef>
              <c:f>Sheet1!$B$1</c:f>
              <c:strCache>
                <c:ptCount val="1"/>
                <c:pt idx="0">
                  <c:v>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49746764413069"/>
                  <c:y val="0.00122147287642854"/>
                </c:manualLayout>
              </c:layout>
              <c:showLegendKey val="0"/>
              <c:showVal val="1"/>
              <c:showCatName val="1"/>
              <c:showSerName val="0"/>
              <c:showPercent val="0"/>
              <c:showBubbleSize val="0"/>
              <c:extLst>
                <c:ext xmlns:c15="http://schemas.microsoft.com/office/drawing/2012/chart" uri="{CE6537A1-D6FC-4f65-9D91-7224C49458BB}">
                  <c15:layout>
                    <c:manualLayout>
                      <c:w val="0.257360243155313"/>
                      <c:h val="0.321613185448593"/>
                    </c:manualLayout>
                  </c15:layout>
                </c:ext>
              </c:extLst>
            </c:dLbl>
            <c:dLbl>
              <c:idx val="1"/>
              <c:layout>
                <c:manualLayout>
                  <c:x val="-0.188703739662135"/>
                  <c:y val="0.0187599130753816"/>
                </c:manualLayout>
              </c:layout>
              <c:showLegendKey val="0"/>
              <c:showVal val="1"/>
              <c:showCatName val="1"/>
              <c:showSerName val="0"/>
              <c:showPercent val="0"/>
              <c:showBubbleSize val="0"/>
              <c:extLst>
                <c:ext xmlns:c15="http://schemas.microsoft.com/office/drawing/2012/chart" uri="{CE6537A1-D6FC-4f65-9D91-7224C49458BB}">
                  <c15:layout>
                    <c:manualLayout>
                      <c:w val="0.313260999647314"/>
                      <c:h val="0.307276267885869"/>
                    </c:manualLayout>
                  </c15:layout>
                </c:ext>
              </c:extLst>
            </c:dLbl>
            <c:dLbl>
              <c:idx val="2"/>
              <c:layout>
                <c:manualLayout>
                  <c:x val="-0.147466550211176"/>
                  <c:y val="-0.0621056224474183"/>
                </c:manualLayout>
              </c:layout>
              <c:showLegendKey val="0"/>
              <c:showVal val="1"/>
              <c:showCatName val="1"/>
              <c:showSerName val="0"/>
              <c:showPercent val="0"/>
              <c:showBubbleSize val="0"/>
              <c:extLst>
                <c:ext xmlns:c15="http://schemas.microsoft.com/office/drawing/2012/chart" uri="{CE6537A1-D6FC-4f65-9D91-7224C49458BB}">
                  <c15:layout>
                    <c:manualLayout>
                      <c:w val="0.352289884247609"/>
                      <c:h val="0.278602432760421"/>
                    </c:manualLayout>
                  </c15:layout>
                </c:ext>
              </c:extLst>
            </c:dLbl>
            <c:dLbl>
              <c:idx val="3"/>
              <c:layout>
                <c:manualLayout>
                  <c:x val="-0.0314212676839633"/>
                  <c:y val="-0.169303108411897"/>
                </c:manualLayout>
              </c:layout>
              <c:showLegendKey val="0"/>
              <c:showVal val="1"/>
              <c:showCatName val="1"/>
              <c:showSerName val="0"/>
              <c:showPercent val="0"/>
              <c:showBubbleSize val="0"/>
              <c:extLst>
                <c:ext xmlns:c15="http://schemas.microsoft.com/office/drawing/2012/chart" uri="{CE6537A1-D6FC-4f65-9D91-7224C49458BB}">
                  <c15:layout>
                    <c:manualLayout>
                      <c:w val="0.281386222462961"/>
                      <c:h val="0.163842613843673"/>
                    </c:manualLayout>
                  </c15:layout>
                </c:ext>
              </c:extLst>
            </c:dLbl>
            <c:dLbl>
              <c:idx val="4"/>
              <c:layout>
                <c:manualLayout>
                  <c:x val="0.13464096442518"/>
                  <c:y val="-0.115046785071149"/>
                </c:manualLayout>
              </c:layout>
              <c:tx>
                <c:rich>
                  <a:bodyPr rot="0" spcFirstLastPara="1" vertOverflow="ellipsis" vert="horz" wrap="square" lIns="38100" tIns="19050" rIns="38100" bIns="19050" anchor="ctr" anchorCtr="1"/>
                  <a:lstStyle/>
                  <a:p>
                    <a:fld id="{f57bf478-e1df-425f-a52e-30dcb4bddcf3}" type="CATEGORYNAME">
                      <a:t>[CATEGORY NAME]</a:t>
                    </a:fld>
                    <a:r>
                      <a:t>,</a:t>
                    </a:r>
                    <a:fld id="{f48b8504-9b6d-45e4-9c21-c9a3b74b925e}"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c:spPr>
                </c15:leaderLines>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0.736196319018405</c:v>
                </c:pt>
                <c:pt idx="1">
                  <c:v>0.171779141104294</c:v>
                </c:pt>
                <c:pt idx="2">
                  <c:v>0.0797546012269939</c:v>
                </c:pt>
                <c:pt idx="3">
                  <c:v>0.00613496932515337</c:v>
                </c:pt>
                <c:pt idx="4">
                  <c:v>0.00613496932515337</c:v>
                </c:pt>
              </c:numCache>
            </c:numRef>
          </c:val>
        </c:ser>
        <c:dLbls>
          <c:showLegendKey val="0"/>
          <c:showVal val="1"/>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
          <c:y val="0.205869105071543"/>
          <c:w val="0.503459218541079"/>
          <c:h val="0.717294047921429"/>
        </c:manualLayout>
      </c:layout>
      <c:doughnutChart>
        <c:varyColors val="1"/>
        <c:ser>
          <c:idx val="0"/>
          <c:order val="0"/>
          <c:tx>
            <c:strRef>
              <c:f>Sheet1!$B$1</c:f>
              <c:strCache>
                <c:ptCount val="1"/>
                <c:pt idx="0">
                  <c:v>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49746764413069"/>
                  <c:y val="0.00122147287642854"/>
                </c:manualLayout>
              </c:layout>
              <c:showLegendKey val="0"/>
              <c:showVal val="1"/>
              <c:showCatName val="1"/>
              <c:showSerName val="0"/>
              <c:showPercent val="0"/>
              <c:showBubbleSize val="0"/>
              <c:extLst>
                <c:ext xmlns:c15="http://schemas.microsoft.com/office/drawing/2012/chart" uri="{CE6537A1-D6FC-4f65-9D91-7224C49458BB}">
                  <c15:layout>
                    <c:manualLayout>
                      <c:w val="0.257360243155313"/>
                      <c:h val="0.321613185448593"/>
                    </c:manualLayout>
                  </c15:layout>
                </c:ext>
              </c:extLst>
            </c:dLbl>
            <c:dLbl>
              <c:idx val="1"/>
              <c:layout>
                <c:manualLayout>
                  <c:x val="-0.188703739662135"/>
                  <c:y val="0.0187599130753816"/>
                </c:manualLayout>
              </c:layout>
              <c:showLegendKey val="0"/>
              <c:showVal val="1"/>
              <c:showCatName val="1"/>
              <c:showSerName val="0"/>
              <c:showPercent val="0"/>
              <c:showBubbleSize val="0"/>
              <c:extLst>
                <c:ext xmlns:c15="http://schemas.microsoft.com/office/drawing/2012/chart" uri="{CE6537A1-D6FC-4f65-9D91-7224C49458BB}">
                  <c15:layout>
                    <c:manualLayout>
                      <c:w val="0.313260999647314"/>
                      <c:h val="0.307276267885869"/>
                    </c:manualLayout>
                  </c15:layout>
                </c:ext>
              </c:extLst>
            </c:dLbl>
            <c:dLbl>
              <c:idx val="2"/>
              <c:layout>
                <c:manualLayout>
                  <c:x val="-0.149859628281474"/>
                  <c:y val="-0.0621056224474183"/>
                </c:manualLayout>
              </c:layout>
              <c:showLegendKey val="0"/>
              <c:showVal val="1"/>
              <c:showCatName val="1"/>
              <c:showSerName val="0"/>
              <c:showPercent val="0"/>
              <c:showBubbleSize val="0"/>
              <c:extLst>
                <c:ext xmlns:c15="http://schemas.microsoft.com/office/drawing/2012/chart" uri="{CE6537A1-D6FC-4f65-9D91-7224C49458BB}">
                  <c15:layout>
                    <c:manualLayout>
                      <c:w val="0.352289884247609"/>
                      <c:h val="0.278602432760421"/>
                    </c:manualLayout>
                  </c15:layout>
                </c:ext>
              </c:extLst>
            </c:dLbl>
            <c:dLbl>
              <c:idx val="3"/>
              <c:layout>
                <c:manualLayout>
                  <c:x val="-0.00607697853048833"/>
                  <c:y val="-0.13434318468039"/>
                </c:manualLayout>
              </c:layout>
              <c:showLegendKey val="0"/>
              <c:showVal val="1"/>
              <c:showCatName val="1"/>
              <c:showSerName val="0"/>
              <c:showPercent val="0"/>
              <c:showBubbleSize val="0"/>
              <c:extLst>
                <c:ext xmlns:c15="http://schemas.microsoft.com/office/drawing/2012/chart" uri="{CE6537A1-D6FC-4f65-9D91-7224C49458BB}">
                  <c15:layout>
                    <c:manualLayout>
                      <c:w val="0.31202818319074"/>
                      <c:h val="0.235591680072249"/>
                    </c:manualLayout>
                  </c15:layout>
                </c:ext>
              </c:extLst>
            </c:dLbl>
            <c:dLbl>
              <c:idx val="4"/>
              <c:layout>
                <c:manualLayout>
                  <c:x val="0.173996964112561"/>
                  <c:y val="-0.0911304920965597"/>
                </c:manualLayout>
              </c:layout>
              <c:tx>
                <c:rich>
                  <a:bodyPr rot="0" spcFirstLastPara="1" vertOverflow="ellipsis" vert="horz" wrap="square" lIns="38100" tIns="19050" rIns="38100" bIns="19050" anchor="ctr" anchorCtr="1"/>
                  <a:lstStyle/>
                  <a:p>
                    <a:fld id="{f0b752e0-e67b-4cef-8f5c-e52f3655e56c}" type="CATEGORYNAME">
                      <a:t>[CATEGORY NAME]</a:t>
                    </a:fld>
                    <a:r>
                      <a:t>,</a:t>
                    </a:r>
                    <a:fld id="{e03d0935-0c4c-4f32-9a9d-f3fc07117455}"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c:spPr>
                </c15:leaderLines>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0.640243902439024</c:v>
                </c:pt>
                <c:pt idx="1">
                  <c:v>0.23780487804878</c:v>
                </c:pt>
                <c:pt idx="2">
                  <c:v>0.103658536585366</c:v>
                </c:pt>
                <c:pt idx="3">
                  <c:v>0.00609756097560976</c:v>
                </c:pt>
                <c:pt idx="4">
                  <c:v>0.0121951219512195</c:v>
                </c:pt>
              </c:numCache>
            </c:numRef>
          </c:val>
        </c:ser>
        <c:dLbls>
          <c:showLegendKey val="0"/>
          <c:showVal val="1"/>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
          <c:y val="0.205869105071543"/>
          <c:w val="0.503459218541079"/>
          <c:h val="0.717294047921429"/>
        </c:manualLayout>
      </c:layout>
      <c:doughnutChart>
        <c:varyColors val="1"/>
        <c:ser>
          <c:idx val="0"/>
          <c:order val="0"/>
          <c:tx>
            <c:strRef>
              <c:f>Sheet1!$B$1</c:f>
              <c:strCache>
                <c:ptCount val="1"/>
                <c:pt idx="0">
                  <c:v>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49746764413069"/>
                  <c:y val="0.00122147287642854"/>
                </c:manualLayout>
              </c:layout>
              <c:showLegendKey val="0"/>
              <c:showVal val="1"/>
              <c:showCatName val="1"/>
              <c:showSerName val="0"/>
              <c:showPercent val="0"/>
              <c:showBubbleSize val="0"/>
              <c:extLst>
                <c:ext xmlns:c15="http://schemas.microsoft.com/office/drawing/2012/chart" uri="{CE6537A1-D6FC-4f65-9D91-7224C49458BB}">
                  <c15:layout>
                    <c:manualLayout>
                      <c:w val="0.257360243155313"/>
                      <c:h val="0.321613185448593"/>
                    </c:manualLayout>
                  </c15:layout>
                </c:ext>
              </c:extLst>
            </c:dLbl>
            <c:dLbl>
              <c:idx val="1"/>
              <c:layout>
                <c:manualLayout>
                  <c:x val="-0.188703739662135"/>
                  <c:y val="0.0187599130753816"/>
                </c:manualLayout>
              </c:layout>
              <c:showLegendKey val="0"/>
              <c:showVal val="1"/>
              <c:showCatName val="1"/>
              <c:showSerName val="0"/>
              <c:showPercent val="0"/>
              <c:showBubbleSize val="0"/>
              <c:extLst>
                <c:ext xmlns:c15="http://schemas.microsoft.com/office/drawing/2012/chart" uri="{CE6537A1-D6FC-4f65-9D91-7224C49458BB}">
                  <c15:layout>
                    <c:manualLayout>
                      <c:w val="0.313260999647314"/>
                      <c:h val="0.307276267885869"/>
                    </c:manualLayout>
                  </c15:layout>
                </c:ext>
              </c:extLst>
            </c:dLbl>
            <c:dLbl>
              <c:idx val="2"/>
              <c:layout>
                <c:manualLayout>
                  <c:x val="-0.158420715197162"/>
                  <c:y val="-0.0621056224474183"/>
                </c:manualLayout>
              </c:layout>
              <c:showLegendKey val="0"/>
              <c:showVal val="1"/>
              <c:showCatName val="1"/>
              <c:showSerName val="0"/>
              <c:showPercent val="0"/>
              <c:showBubbleSize val="0"/>
              <c:extLst>
                <c:ext xmlns:c15="http://schemas.microsoft.com/office/drawing/2012/chart" uri="{CE6537A1-D6FC-4f65-9D91-7224C49458BB}">
                  <c15:layout>
                    <c:manualLayout>
                      <c:w val="0.352289884247609"/>
                      <c:h val="0.278602432760421"/>
                    </c:manualLayout>
                  </c15:layout>
                </c:ext>
              </c:extLst>
            </c:dLbl>
            <c:dLbl>
              <c:idx val="3"/>
              <c:layout>
                <c:manualLayout>
                  <c:x val="-0.00521340761258598"/>
                  <c:y val="-0.134974989112908"/>
                </c:manualLayout>
              </c:layout>
              <c:showLegendKey val="0"/>
              <c:showVal val="1"/>
              <c:showCatName val="1"/>
              <c:showSerName val="0"/>
              <c:showPercent val="0"/>
              <c:showBubbleSize val="0"/>
              <c:extLst>
                <c:ext xmlns:c15="http://schemas.microsoft.com/office/drawing/2012/chart" uri="{CE6537A1-D6FC-4f65-9D91-7224C49458BB}">
                  <c15:layout>
                    <c:manualLayout>
                      <c:w val="0.31202818319074"/>
                      <c:h val="0.235591680072249"/>
                    </c:manualLayout>
                  </c15:layout>
                </c:ext>
              </c:extLst>
            </c:dLbl>
            <c:dLbl>
              <c:idx val="4"/>
              <c:layout>
                <c:manualLayout>
                  <c:x val="0.158371665992344"/>
                  <c:y val="-0.109067711827501"/>
                </c:manualLayout>
              </c:layout>
              <c:tx>
                <c:rich>
                  <a:bodyPr rot="0" spcFirstLastPara="1" vertOverflow="ellipsis" vert="horz" wrap="square" lIns="38100" tIns="19050" rIns="38100" bIns="19050" anchor="ctr" anchorCtr="1"/>
                  <a:lstStyle/>
                  <a:p>
                    <a:fld id="{19a73365-9059-4dd1-b989-01b89e9d31d8}" type="CATEGORYNAME">
                      <a:t>[CATEGORY NAME]</a:t>
                    </a:fld>
                    <a:r>
                      <a:t>,</a:t>
                    </a:r>
                    <a:fld id="{b7cce726-3dc9-478c-8dea-f47a35a67eaf}" type="VALUE">
                      <a:t>[VALUE]</a:t>
                    </a:fld>
                    <a:endParaRPr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c:spPr>
                </c15:leaderLines>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0.646341463414634</c:v>
                </c:pt>
                <c:pt idx="1">
                  <c:v>0.24390243902439</c:v>
                </c:pt>
                <c:pt idx="2">
                  <c:v>0.0853658536585366</c:v>
                </c:pt>
                <c:pt idx="3">
                  <c:v>0.0121951219512195</c:v>
                </c:pt>
                <c:pt idx="4">
                  <c:v>0.0121951219512195</c:v>
                </c:pt>
              </c:numCache>
            </c:numRef>
          </c:val>
        </c:ser>
        <c:dLbls>
          <c:showLegendKey val="0"/>
          <c:showVal val="1"/>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
          <c:y val="0.205869105071543"/>
          <c:w val="0.503459218541079"/>
          <c:h val="0.717294047921429"/>
        </c:manualLayout>
      </c:layout>
      <c:doughnutChart>
        <c:varyColors val="1"/>
        <c:ser>
          <c:idx val="0"/>
          <c:order val="0"/>
          <c:tx>
            <c:strRef>
              <c:f>Sheet1!$B$1</c:f>
              <c:strCache>
                <c:ptCount val="1"/>
                <c:pt idx="0">
                  <c:v>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97761394784101"/>
                  <c:y val="0.00122147287642856"/>
                </c:manualLayout>
              </c:layout>
              <c:showLegendKey val="0"/>
              <c:showVal val="1"/>
              <c:showCatName val="1"/>
              <c:showSerName val="0"/>
              <c:showPercent val="0"/>
              <c:showBubbleSize val="0"/>
              <c:extLst>
                <c:ext xmlns:c15="http://schemas.microsoft.com/office/drawing/2012/chart" uri="{CE6537A1-D6FC-4f65-9D91-7224C49458BB}">
                  <c15:layout>
                    <c:manualLayout>
                      <c:w val="0.257360243155313"/>
                      <c:h val="0.321613185448593"/>
                    </c:manualLayout>
                  </c15:layout>
                </c:ext>
              </c:extLst>
            </c:dLbl>
            <c:dLbl>
              <c:idx val="1"/>
              <c:layout>
                <c:manualLayout>
                  <c:x val="-0.130086156127991"/>
                  <c:y val="0.120404411331992"/>
                </c:manualLayout>
              </c:layout>
              <c:showLegendKey val="0"/>
              <c:showVal val="1"/>
              <c:showCatName val="1"/>
              <c:showSerName val="0"/>
              <c:showPercent val="0"/>
              <c:showBubbleSize val="0"/>
              <c:extLst>
                <c:ext xmlns:c15="http://schemas.microsoft.com/office/drawing/2012/chart" uri="{CE6537A1-D6FC-4f65-9D91-7224C49458BB}">
                  <c15:layout>
                    <c:manualLayout>
                      <c:w val="0.313260928590823"/>
                      <c:h val="0.199653025434601"/>
                    </c:manualLayout>
                  </c15:layout>
                </c:ext>
              </c:extLst>
            </c:dLbl>
            <c:dLbl>
              <c:idx val="2"/>
              <c:layout>
                <c:manualLayout>
                  <c:x val="-0.184262286179745"/>
                  <c:y val="-0.0860219154220072"/>
                </c:manualLayout>
              </c:layout>
              <c:showLegendKey val="0"/>
              <c:showVal val="1"/>
              <c:showCatName val="1"/>
              <c:showSerName val="0"/>
              <c:showPercent val="0"/>
              <c:showBubbleSize val="0"/>
              <c:extLst>
                <c:ext xmlns:c15="http://schemas.microsoft.com/office/drawing/2012/chart" uri="{CE6537A1-D6FC-4f65-9D91-7224C49458BB}">
                  <c15:layout>
                    <c:manualLayout>
                      <c:w val="0.352289884247609"/>
                      <c:h val="0.278602432760421"/>
                    </c:manualLayout>
                  </c15:layout>
                </c:ext>
              </c:extLst>
            </c:dLbl>
            <c:dLbl>
              <c:idx val="3"/>
              <c:layout>
                <c:manualLayout>
                  <c:x val="0.0390552991220925"/>
                  <c:y val="-0.160287654626131"/>
                </c:manualLayout>
              </c:layout>
              <c:showLegendKey val="0"/>
              <c:showVal val="1"/>
              <c:showCatName val="1"/>
              <c:showSerName val="0"/>
              <c:showPercent val="0"/>
              <c:showBubbleSize val="0"/>
              <c:extLst>
                <c:ext xmlns:c15="http://schemas.microsoft.com/office/drawing/2012/chart" uri="{CE6537A1-D6FC-4f65-9D91-7224C49458BB}">
                  <c15:layout>
                    <c:manualLayout>
                      <c:w val="0.31202818319074"/>
                      <c:h val="0.235591680072249"/>
                    </c:manualLayout>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c:spPr>
                </c15:leaderLines>
              </c:ext>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0.521212121212121</c:v>
                </c:pt>
                <c:pt idx="1">
                  <c:v>0.339393939393939</c:v>
                </c:pt>
                <c:pt idx="2">
                  <c:v>0.115151515151515</c:v>
                </c:pt>
                <c:pt idx="3">
                  <c:v>0.0242424242424242</c:v>
                </c:pt>
              </c:numCache>
            </c:numRef>
          </c:val>
        </c:ser>
        <c:dLbls>
          <c:showLegendKey val="0"/>
          <c:showVal val="1"/>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019895442776"/>
          <c:y val="0.0320392118999735"/>
          <c:w val="0.489534041754651"/>
          <c:h val="0.848490974223328"/>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Sheet1!$A$2:$A$8</c:f>
              <c:strCache>
                <c:ptCount val="7"/>
                <c:pt idx="0">
                  <c:v>已较完善</c:v>
                </c:pt>
                <c:pt idx="1">
                  <c:v>其他</c:v>
                </c:pt>
                <c:pt idx="2">
                  <c:v>不清楚</c:v>
                </c:pt>
                <c:pt idx="3">
                  <c:v>改进服务态度</c:v>
                </c:pt>
                <c:pt idx="4">
                  <c:v>拓宽服务项目</c:v>
                </c:pt>
                <c:pt idx="5">
                  <c:v>增加招聘场次</c:v>
                </c:pt>
                <c:pt idx="6">
                  <c:v>加强校企沟通</c:v>
                </c:pt>
              </c:strCache>
            </c:strRef>
          </c:cat>
          <c:val>
            <c:numRef>
              <c:f>Sheet1!$B$2:$B$8</c:f>
              <c:numCache>
                <c:formatCode>0.00%</c:formatCode>
                <c:ptCount val="7"/>
                <c:pt idx="0">
                  <c:v>0.561728395061728</c:v>
                </c:pt>
                <c:pt idx="1">
                  <c:v>0.0308641975308642</c:v>
                </c:pt>
                <c:pt idx="2">
                  <c:v>0.0308641975308642</c:v>
                </c:pt>
                <c:pt idx="3">
                  <c:v>0.0617283950617284</c:v>
                </c:pt>
                <c:pt idx="4">
                  <c:v>0.166666666666667</c:v>
                </c:pt>
                <c:pt idx="5">
                  <c:v>0.240740740740741</c:v>
                </c:pt>
                <c:pt idx="6">
                  <c:v>0.401234567901235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落实率</c:v>
                </c:pt>
              </c:strCache>
            </c:strRef>
          </c:tx>
          <c:spPr>
            <a:solidFill>
              <a:schemeClr val="accent5"/>
            </a:solidFill>
            <a:ln>
              <a:noFill/>
            </a:ln>
            <a:effectLst/>
          </c:spPr>
          <c:invertIfNegative val="0"/>
          <c:dPt>
            <c:idx val="0"/>
            <c:invertIfNegative val="0"/>
            <c:bubble3D val="0"/>
            <c:spPr>
              <a:solidFill>
                <a:schemeClr val="accent5"/>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Sheet1!$A$2:$A$13</c:f>
              <c:strCache>
                <c:ptCount val="12"/>
                <c:pt idx="0">
                  <c:v>生物工程学院</c:v>
                </c:pt>
                <c:pt idx="1">
                  <c:v>艺术学院</c:v>
                </c:pt>
                <c:pt idx="2">
                  <c:v>电子信息工程学院</c:v>
                </c:pt>
                <c:pt idx="3">
                  <c:v>经济与管理学院</c:v>
                </c:pt>
                <c:pt idx="4">
                  <c:v>计算机工程学院</c:v>
                </c:pt>
                <c:pt idx="5">
                  <c:v>师范学院</c:v>
                </c:pt>
                <c:pt idx="6">
                  <c:v>医学院</c:v>
                </c:pt>
                <c:pt idx="7">
                  <c:v>外国语学院</c:v>
                </c:pt>
                <c:pt idx="8">
                  <c:v>化工与药学院</c:v>
                </c:pt>
                <c:pt idx="9">
                  <c:v>文学与传媒学院</c:v>
                </c:pt>
                <c:pt idx="10">
                  <c:v>数理学院</c:v>
                </c:pt>
                <c:pt idx="11">
                  <c:v>机械工程学院</c:v>
                </c:pt>
              </c:strCache>
            </c:strRef>
          </c:cat>
          <c:val>
            <c:numRef>
              <c:f>Sheet1!$B$2:$B$13</c:f>
              <c:numCache>
                <c:formatCode>0.00%</c:formatCode>
                <c:ptCount val="12"/>
                <c:pt idx="0">
                  <c:v>0.852713178294574</c:v>
                </c:pt>
                <c:pt idx="1">
                  <c:v>0.861290322580645</c:v>
                </c:pt>
                <c:pt idx="2">
                  <c:v>0.888412017167382</c:v>
                </c:pt>
                <c:pt idx="3">
                  <c:v>0.889380530973451</c:v>
                </c:pt>
                <c:pt idx="4">
                  <c:v>0.891304347826087</c:v>
                </c:pt>
                <c:pt idx="5">
                  <c:v>0.89159891598916</c:v>
                </c:pt>
                <c:pt idx="6">
                  <c:v>0.897379912663755</c:v>
                </c:pt>
                <c:pt idx="7">
                  <c:v>0.909090909090909</c:v>
                </c:pt>
                <c:pt idx="8">
                  <c:v>0.910179640718563</c:v>
                </c:pt>
                <c:pt idx="9">
                  <c:v>0.913533834586466</c:v>
                </c:pt>
                <c:pt idx="10">
                  <c:v>0.921875</c:v>
                </c:pt>
                <c:pt idx="11">
                  <c:v>0.929889298892989</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落实率</c:v>
                </c:pt>
              </c:strCache>
            </c:strRef>
          </c:tx>
          <c:spPr>
            <a:solidFill>
              <a:schemeClr val="accent5"/>
            </a:solidFill>
            <a:ln>
              <a:noFill/>
            </a:ln>
            <a:effectLst/>
          </c:spPr>
          <c:invertIfNegative val="0"/>
          <c:dPt>
            <c:idx val="0"/>
            <c:invertIfNegative val="0"/>
            <c:bubble3D val="0"/>
            <c:spPr>
              <a:solidFill>
                <a:schemeClr val="accent5"/>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Sheet1!$A$2:$A$10</c:f>
              <c:strCache>
                <c:ptCount val="9"/>
                <c:pt idx="0">
                  <c:v>计算机工程学院</c:v>
                </c:pt>
                <c:pt idx="1">
                  <c:v>文学与传媒学院</c:v>
                </c:pt>
                <c:pt idx="2">
                  <c:v>机械工程学院</c:v>
                </c:pt>
                <c:pt idx="3">
                  <c:v>医学院</c:v>
                </c:pt>
                <c:pt idx="4">
                  <c:v>经济与管理学院</c:v>
                </c:pt>
                <c:pt idx="5">
                  <c:v>师范学院</c:v>
                </c:pt>
                <c:pt idx="6">
                  <c:v>电子信息工程学院</c:v>
                </c:pt>
                <c:pt idx="7">
                  <c:v>化工与药学院</c:v>
                </c:pt>
                <c:pt idx="8">
                  <c:v>生物工程学院</c:v>
                </c:pt>
              </c:strCache>
            </c:strRef>
          </c:cat>
          <c:val>
            <c:numRef>
              <c:f>Sheet1!$B$2:$B$10</c:f>
              <c:numCache>
                <c:formatCode>0.00%</c:formatCode>
                <c:ptCount val="9"/>
                <c:pt idx="0">
                  <c:v>0.903954802259887</c:v>
                </c:pt>
                <c:pt idx="1">
                  <c:v>0.909090909090909</c:v>
                </c:pt>
                <c:pt idx="2">
                  <c:v>0.925</c:v>
                </c:pt>
                <c:pt idx="3">
                  <c:v>0.925373134328358</c:v>
                </c:pt>
                <c:pt idx="4">
                  <c:v>0.930434782608696</c:v>
                </c:pt>
                <c:pt idx="5">
                  <c:v>0.936619718309859</c:v>
                </c:pt>
                <c:pt idx="6">
                  <c:v>0.960526315789474</c:v>
                </c:pt>
                <c:pt idx="7">
                  <c:v>1</c:v>
                </c:pt>
                <c:pt idx="8">
                  <c:v>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8383423990785"/>
          <c:y val="0.0658161342167031"/>
          <c:w val="0.84408756197142"/>
          <c:h val="0.820181067674911"/>
        </c:manualLayout>
      </c:layout>
      <c:barChart>
        <c:barDir val="col"/>
        <c:grouping val="clustered"/>
        <c:varyColors val="0"/>
        <c:ser>
          <c:idx val="0"/>
          <c:order val="0"/>
          <c:tx>
            <c:strRef>
              <c:f>Sheet1!$B$1</c:f>
              <c:strCache>
                <c:ptCount val="1"/>
                <c:pt idx="0">
                  <c:v>省内</c:v>
                </c:pt>
              </c:strCache>
            </c:strRef>
          </c:tx>
          <c:spPr>
            <a:solidFill>
              <a:srgbClr val="0F6FC6"/>
            </a:solidFill>
          </c:spPr>
          <c:invertIfNegative val="1"/>
          <c:dLbls>
            <c:dLbl>
              <c:idx val="0"/>
              <c:layout>
                <c:manualLayout>
                  <c:x val="-0.00231481481481481"/>
                  <c:y val="0.01543227851235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2279872910623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专科毕业生</c:v>
                </c:pt>
                <c:pt idx="1">
                  <c:v>本科毕业生</c:v>
                </c:pt>
                <c:pt idx="2">
                  <c:v>总体</c:v>
                </c:pt>
              </c:strCache>
            </c:strRef>
          </c:cat>
          <c:val>
            <c:numRef>
              <c:f>Sheet1!$B$2:$B$4</c:f>
              <c:numCache>
                <c:formatCode>0.00%</c:formatCode>
                <c:ptCount val="3"/>
                <c:pt idx="0">
                  <c:v>0.626157407407407</c:v>
                </c:pt>
                <c:pt idx="1">
                  <c:v>0.554443053817272</c:v>
                </c:pt>
                <c:pt idx="2">
                  <c:v>0.5736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省外</c:v>
                </c:pt>
              </c:strCache>
            </c:strRef>
          </c:tx>
          <c:spPr>
            <a:solidFill>
              <a:srgbClr val="0BD0D9"/>
            </a:solidFill>
          </c:spPr>
          <c:invertIfNegative val="1"/>
          <c:dLbls>
            <c:dLbl>
              <c:idx val="0"/>
              <c:layout>
                <c:manualLayout>
                  <c:x val="-0.00231481481481481"/>
                  <c:y val="0.01543227851235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2279872910623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专科毕业生</c:v>
                </c:pt>
                <c:pt idx="1">
                  <c:v>本科毕业生</c:v>
                </c:pt>
                <c:pt idx="2">
                  <c:v>总体</c:v>
                </c:pt>
              </c:strCache>
            </c:strRef>
          </c:cat>
          <c:val>
            <c:numRef>
              <c:f>Sheet1!$C$2:$C$4</c:f>
              <c:numCache>
                <c:formatCode>0.00%</c:formatCode>
                <c:ptCount val="3"/>
                <c:pt idx="0">
                  <c:v>0.373842592592593</c:v>
                </c:pt>
                <c:pt idx="1">
                  <c:v>0.445556946182728</c:v>
                </c:pt>
                <c:pt idx="2">
                  <c:v>0.4264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69"/>
        <c:overlap val="-15"/>
        <c:axId val="305312816"/>
        <c:axId val="602775024"/>
      </c:barChart>
      <c:catAx>
        <c:axId val="305312816"/>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02775024"/>
        <c:crosses val="autoZero"/>
        <c:auto val="1"/>
        <c:lblAlgn val="ctr"/>
        <c:lblOffset val="100"/>
        <c:noMultiLvlLbl val="0"/>
      </c:catAx>
      <c:valAx>
        <c:axId val="602775024"/>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305312816"/>
        <c:crosses val="autoZero"/>
        <c:crossBetween val="between"/>
        <c:majorUnit val="1000"/>
      </c:valAx>
      <c:spPr>
        <a:noFill/>
        <a:ln>
          <a:noFill/>
        </a:ln>
        <a:effectLst/>
      </c:spPr>
    </c:plotArea>
    <c:legend>
      <c:legendPos val="r"/>
      <c:layout>
        <c:manualLayout>
          <c:xMode val="edge"/>
          <c:yMode val="edge"/>
          <c:x val="0.383155623903655"/>
          <c:y val="0.00150129055444833"/>
          <c:w val="0.364596623848592"/>
          <c:h val="0.194784417507977"/>
        </c:manualLayout>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F3E0B63-EBC4-4637-8E70-4631954BF9C5}" type="doc">
      <dgm:prSet loTypeId="urn:microsoft.com/office/officeart/2005/8/layout/gear1" loCatId="process" qsTypeId="urn:microsoft.com/office/officeart/2005/8/quickstyle/simple1" qsCatId="simple" csTypeId="urn:microsoft.com/office/officeart/2005/8/colors/colorful5" csCatId="colorful" phldr="1"/>
      <dgm:spPr/>
      <dgm:t>
        <a:bodyPr/>
        <a:p>
          <a:endParaRPr lang="zh-CN" altLang="en-US"/>
        </a:p>
      </dgm:t>
    </dgm:pt>
    <dgm:pt modelId="{B7A868DB-D726-4905-8F44-9AB7D76DFE4B}">
      <dgm:prSet phldrT="[文本]" custT="1"/>
      <dgm:spPr>
        <a:solidFill>
          <a:srgbClr val="78B4AD"/>
        </a:solidFill>
      </dgm:spPr>
      <dgm:t>
        <a:bodyPr/>
        <a:p>
          <a:r>
            <a:rPr lang="zh-CN" altLang="en-US" sz="1000">
              <a:latin typeface="微软雅黑" panose="020B0503020204020204" pitchFamily="2" charset="-122"/>
              <a:ea typeface="微软雅黑" panose="020B0503020204020204" pitchFamily="2" charset="-122"/>
            </a:rPr>
            <a:t>职业期待吻合度</a:t>
          </a:r>
          <a:r>
            <a:rPr lang="en-US" sz="1000">
              <a:latin typeface="微软雅黑" panose="020B0503020204020204" pitchFamily="2" charset="-122"/>
              <a:ea typeface="微软雅黑" panose="020B0503020204020204" pitchFamily="2" charset="-122"/>
            </a:rPr>
            <a:t>84.49%</a:t>
          </a:r>
          <a:endParaRPr lang="zh-CN" altLang="en-US" sz="1000">
            <a:latin typeface="微软雅黑" panose="020B0503020204020204" pitchFamily="2" charset="-122"/>
            <a:ea typeface="微软雅黑" panose="020B0503020204020204" pitchFamily="2" charset="-122"/>
          </a:endParaRPr>
        </a:p>
      </dgm:t>
    </dgm:pt>
    <dgm:pt modelId="{249E003A-3100-429F-926E-6F098F264EA5}" cxnId="{659B24DB-F511-41FC-A34C-BEEA18165039}" type="parTrans">
      <dgm:prSet/>
      <dgm:spPr/>
      <dgm:t>
        <a:bodyPr/>
        <a:p>
          <a:endParaRPr lang="zh-CN" altLang="en-US"/>
        </a:p>
      </dgm:t>
    </dgm:pt>
    <dgm:pt modelId="{FA12E1A8-7B4C-4CB3-ACA1-A2604DA9C812}" cxnId="{659B24DB-F511-41FC-A34C-BEEA18165039}" type="sibTrans">
      <dgm:prSet/>
      <dgm:spPr>
        <a:solidFill>
          <a:srgbClr val="78B4AD"/>
        </a:solidFill>
      </dgm:spPr>
      <dgm:t>
        <a:bodyPr/>
        <a:p>
          <a:endParaRPr lang="zh-CN" altLang="en-US"/>
        </a:p>
      </dgm:t>
    </dgm:pt>
    <dgm:pt modelId="{2C7C3855-FF38-4D0C-A0A2-742BF59CA1A0}">
      <dgm:prSet phldrT="[文本]" phldr="1"/>
      <dgm:spPr/>
      <dgm:t>
        <a:bodyPr/>
        <a:p>
          <a:endParaRPr lang="zh-CN" altLang="en-US" sz="1000">
            <a:latin typeface="微软雅黑" panose="020B0503020204020204" pitchFamily="2" charset="-122"/>
            <a:ea typeface="微软雅黑" panose="020B0503020204020204" pitchFamily="2" charset="-122"/>
          </a:endParaRPr>
        </a:p>
      </dgm:t>
    </dgm:pt>
    <dgm:pt modelId="{603B81E5-CAB1-46FB-9DD8-3908262D9072}" cxnId="{40B4E3FB-2F6E-4F11-9F61-C4440BEEC6DC}" type="parTrans">
      <dgm:prSet/>
      <dgm:spPr/>
      <dgm:t>
        <a:bodyPr/>
        <a:p>
          <a:endParaRPr lang="zh-CN" altLang="en-US"/>
        </a:p>
      </dgm:t>
    </dgm:pt>
    <dgm:pt modelId="{7AE11883-D88E-43E4-BF15-99EFDB49FF86}" cxnId="{40B4E3FB-2F6E-4F11-9F61-C4440BEEC6DC}" type="sibTrans">
      <dgm:prSet/>
      <dgm:spPr/>
      <dgm:t>
        <a:bodyPr/>
        <a:p>
          <a:endParaRPr lang="zh-CN" altLang="en-US"/>
        </a:p>
      </dgm:t>
    </dgm:pt>
    <dgm:pt modelId="{4AB74548-8000-40B4-BD21-78CF3E0B7784}">
      <dgm:prSet phldrT="[文本]" phldr="1"/>
      <dgm:spPr>
        <a:solidFill>
          <a:srgbClr val="FFC000"/>
        </a:solidFill>
      </dgm:spPr>
      <dgm:t>
        <a:bodyPr/>
        <a:p>
          <a:endParaRPr lang="zh-CN" altLang="en-US" sz="1000">
            <a:latin typeface="微软雅黑" panose="020B0503020204020204" pitchFamily="2" charset="-122"/>
            <a:ea typeface="微软雅黑" panose="020B0503020204020204" pitchFamily="2" charset="-122"/>
          </a:endParaRPr>
        </a:p>
      </dgm:t>
    </dgm:pt>
    <dgm:pt modelId="{BA9BAA2A-22D3-41C8-B386-470237F2A73A}" cxnId="{7E26DAC1-B26A-40E1-85C9-54E9C6F77486}" type="parTrans">
      <dgm:prSet/>
      <dgm:spPr/>
      <dgm:t>
        <a:bodyPr/>
        <a:p>
          <a:endParaRPr lang="zh-CN" altLang="en-US"/>
        </a:p>
      </dgm:t>
    </dgm:pt>
    <dgm:pt modelId="{9A6A8601-F38A-400D-BD87-97D7E185B71C}" cxnId="{7E26DAC1-B26A-40E1-85C9-54E9C6F77486}" type="sibTrans">
      <dgm:prSet/>
      <dgm:spPr>
        <a:solidFill>
          <a:srgbClr val="FFC000"/>
        </a:solidFill>
      </dgm:spPr>
      <dgm:t>
        <a:bodyPr/>
        <a:p>
          <a:endParaRPr lang="zh-CN" altLang="en-US"/>
        </a:p>
      </dgm:t>
    </dgm:pt>
    <dgm:pt modelId="{DE9CDB26-8D29-4686-9E9A-BAFC46BED53B}">
      <dgm:prSet/>
      <dgm:spPr/>
      <dgm:t>
        <a:bodyPr/>
        <a:p>
          <a:endParaRPr lang="zh-CN" altLang="en-US" sz="1000">
            <a:latin typeface="微软雅黑" panose="020B0503020204020204" pitchFamily="2" charset="-122"/>
            <a:ea typeface="微软雅黑" panose="020B0503020204020204" pitchFamily="2" charset="-122"/>
          </a:endParaRPr>
        </a:p>
      </dgm:t>
    </dgm:pt>
    <dgm:pt modelId="{DE9BFE56-7131-44D1-B74C-3D7B7CFD1FA2}" cxnId="{86205425-347B-4429-B390-4C9C46FD2CBD}" type="parTrans">
      <dgm:prSet/>
      <dgm:spPr/>
      <dgm:t>
        <a:bodyPr/>
        <a:p>
          <a:endParaRPr lang="zh-CN" altLang="en-US"/>
        </a:p>
      </dgm:t>
    </dgm:pt>
    <dgm:pt modelId="{072F7D69-EFEA-429F-951B-8AA9CE6AE2CA}" cxnId="{86205425-347B-4429-B390-4C9C46FD2CBD}" type="sibTrans">
      <dgm:prSet/>
      <dgm:spPr/>
      <dgm:t>
        <a:bodyPr/>
        <a:p>
          <a:endParaRPr lang="zh-CN" altLang="en-US"/>
        </a:p>
      </dgm:t>
    </dgm:pt>
    <dgm:pt modelId="{32C142C3-DAC7-44BF-A858-EBEBA6D3DE92}">
      <dgm:prSet custT="1"/>
      <dgm:spPr>
        <a:solidFill>
          <a:srgbClr val="92D050"/>
        </a:solidFill>
      </dgm:spPr>
      <dgm:t>
        <a:bodyPr/>
        <a:p>
          <a:r>
            <a:rPr lang="zh-CN" altLang="en-US" sz="1000">
              <a:latin typeface="微软雅黑" panose="020B0503020204020204" pitchFamily="2" charset="-122"/>
              <a:ea typeface="微软雅黑" panose="020B0503020204020204" pitchFamily="2" charset="-122"/>
            </a:rPr>
            <a:t>工作满意度</a:t>
          </a:r>
          <a:r>
            <a:rPr lang="en-US" sz="1000">
              <a:latin typeface="微软雅黑" panose="020B0503020204020204" pitchFamily="2" charset="-122"/>
              <a:ea typeface="微软雅黑" panose="020B0503020204020204" pitchFamily="2" charset="-122"/>
            </a:rPr>
            <a:t>92.31%</a:t>
          </a:r>
          <a:endParaRPr lang="zh-CN" altLang="en-US" sz="1000">
            <a:latin typeface="微软雅黑" panose="020B0503020204020204" pitchFamily="2" charset="-122"/>
            <a:ea typeface="微软雅黑" panose="020B0503020204020204" pitchFamily="2" charset="-122"/>
          </a:endParaRPr>
        </a:p>
      </dgm:t>
    </dgm:pt>
    <dgm:pt modelId="{76BDAE7A-B9CC-485D-9AD2-283D92781531}" cxnId="{2D768595-6C84-42FD-B537-BE09A5302FE8}" type="parTrans">
      <dgm:prSet/>
      <dgm:spPr/>
      <dgm:t>
        <a:bodyPr/>
        <a:p>
          <a:endParaRPr lang="zh-CN" altLang="en-US"/>
        </a:p>
      </dgm:t>
    </dgm:pt>
    <dgm:pt modelId="{D985E980-CF01-4F3A-9200-7F0D5F753992}" cxnId="{2D768595-6C84-42FD-B537-BE09A5302FE8}" type="sibTrans">
      <dgm:prSet/>
      <dgm:spPr>
        <a:solidFill>
          <a:srgbClr val="92D050"/>
        </a:solidFill>
      </dgm:spPr>
      <dgm:t>
        <a:bodyPr/>
        <a:p>
          <a:endParaRPr lang="zh-CN" altLang="en-US"/>
        </a:p>
      </dgm:t>
    </dgm:pt>
    <dgm:pt modelId="{CDDEB1CC-5F89-465F-93D7-09E864840533}">
      <dgm:prSet custT="1"/>
      <dgm:spPr>
        <a:solidFill>
          <a:srgbClr val="FFC000"/>
        </a:solidFill>
      </dgm:spPr>
      <dgm:t>
        <a:bodyPr/>
        <a:p>
          <a:r>
            <a:rPr lang="zh-CN" altLang="en-US" sz="1000">
              <a:solidFill>
                <a:schemeClr val="bg1"/>
              </a:solidFill>
              <a:latin typeface="微软雅黑" panose="020B0503020204020204" pitchFamily="2" charset="-122"/>
              <a:ea typeface="微软雅黑" panose="020B0503020204020204" pitchFamily="2" charset="-122"/>
            </a:rPr>
            <a:t>专业对口度</a:t>
          </a:r>
          <a:r>
            <a:rPr lang="x-none" sz="1000">
              <a:latin typeface="微软雅黑" panose="020B0503020204020204" pitchFamily="2" charset="-122"/>
              <a:ea typeface="微软雅黑" panose="020B0503020204020204" pitchFamily="2" charset="-122"/>
            </a:rPr>
            <a:t>72.70%</a:t>
          </a:r>
          <a:endParaRPr lang="zh-CN" altLang="en-US" sz="1000">
            <a:latin typeface="微软雅黑" panose="020B0503020204020204" pitchFamily="2" charset="-122"/>
            <a:ea typeface="微软雅黑" panose="020B0503020204020204" pitchFamily="2" charset="-122"/>
          </a:endParaRPr>
        </a:p>
      </dgm:t>
    </dgm:pt>
    <dgm:pt modelId="{7B112CFC-EDD1-4B65-B1BB-F1AA4141F053}" cxnId="{8CBB96A4-40E7-43FE-A5A4-194827F46BB4}" type="parTrans">
      <dgm:prSet/>
      <dgm:spPr/>
      <dgm:t>
        <a:bodyPr/>
        <a:p>
          <a:endParaRPr lang="zh-CN" altLang="en-US"/>
        </a:p>
      </dgm:t>
    </dgm:pt>
    <dgm:pt modelId="{7AA69B13-9D11-446F-9283-400D7A9028CB}" cxnId="{8CBB96A4-40E7-43FE-A5A4-194827F46BB4}" type="sibTrans">
      <dgm:prSet/>
      <dgm:spPr>
        <a:solidFill>
          <a:srgbClr val="FFC000"/>
        </a:solidFill>
        <a:ln>
          <a:solidFill>
            <a:srgbClr val="FFC000"/>
          </a:solidFill>
        </a:ln>
      </dgm:spPr>
      <dgm:t>
        <a:bodyPr/>
        <a:p>
          <a:endParaRPr lang="zh-CN" altLang="en-US"/>
        </a:p>
      </dgm:t>
    </dgm:pt>
    <dgm:pt modelId="{59648B6C-836B-4BAC-8BC4-0F1F6C03EBFC}">
      <dgm:prSet/>
      <dgm:spPr/>
      <dgm:t>
        <a:bodyPr/>
        <a:p>
          <a:endParaRPr lang="zh-CN" altLang="en-US" sz="1000">
            <a:latin typeface="微软雅黑" panose="020B0503020204020204" pitchFamily="2" charset="-122"/>
            <a:ea typeface="微软雅黑" panose="020B0503020204020204" pitchFamily="2" charset="-122"/>
          </a:endParaRPr>
        </a:p>
      </dgm:t>
    </dgm:pt>
    <dgm:pt modelId="{461362D5-70E8-4579-9362-18E9153FEBB7}" cxnId="{15B0EF20-C2A1-4C72-B34F-EE1B16348E1B}" type="parTrans">
      <dgm:prSet/>
      <dgm:spPr/>
      <dgm:t>
        <a:bodyPr/>
        <a:p>
          <a:endParaRPr lang="zh-CN" altLang="en-US"/>
        </a:p>
      </dgm:t>
    </dgm:pt>
    <dgm:pt modelId="{E76B69E1-0D56-47D6-AF58-0271D100A298}" cxnId="{15B0EF20-C2A1-4C72-B34F-EE1B16348E1B}" type="sibTrans">
      <dgm:prSet/>
      <dgm:spPr/>
      <dgm:t>
        <a:bodyPr/>
        <a:p>
          <a:endParaRPr lang="zh-CN" altLang="en-US"/>
        </a:p>
      </dgm:t>
    </dgm:pt>
    <dgm:pt modelId="{06949CB1-2671-4A66-BE83-E37F630E1814}">
      <dgm:prSet/>
      <dgm:spPr/>
      <dgm:t>
        <a:bodyPr/>
        <a:p>
          <a:endParaRPr lang="zh-CN" altLang="en-US" sz="1000">
            <a:latin typeface="微软雅黑" panose="020B0503020204020204" pitchFamily="2" charset="-122"/>
            <a:ea typeface="微软雅黑" panose="020B0503020204020204" pitchFamily="2" charset="-122"/>
          </a:endParaRPr>
        </a:p>
      </dgm:t>
    </dgm:pt>
    <dgm:pt modelId="{7B5AE429-D0B8-4688-8615-3CDE4C9F8205}" cxnId="{B7849AAD-E09E-42AB-9B3D-85DCB4A845F4}" type="parTrans">
      <dgm:prSet/>
      <dgm:spPr/>
      <dgm:t>
        <a:bodyPr/>
        <a:p>
          <a:endParaRPr lang="zh-CN" altLang="en-US"/>
        </a:p>
      </dgm:t>
    </dgm:pt>
    <dgm:pt modelId="{20B1AE17-8C3C-4D2A-B231-AFF2B651818E}" cxnId="{B7849AAD-E09E-42AB-9B3D-85DCB4A845F4}" type="sibTrans">
      <dgm:prSet/>
      <dgm:spPr/>
      <dgm:t>
        <a:bodyPr/>
        <a:p>
          <a:endParaRPr lang="zh-CN" altLang="en-US"/>
        </a:p>
      </dgm:t>
    </dgm:pt>
    <dgm:pt modelId="{56073DBA-46A9-4226-A8D6-D2994A73460E}">
      <dgm:prSet custScaleX="117700" custScaleY="114501"/>
      <dgm:spPr>
        <a:solidFill>
          <a:srgbClr val="FFC000"/>
        </a:solidFill>
      </dgm:spPr>
      <dgm:t>
        <a:bodyPr/>
        <a:p>
          <a:endParaRPr lang="zh-CN" altLang="en-US" sz="1000">
            <a:latin typeface="微软雅黑" panose="020B0503020204020204" pitchFamily="2" charset="-122"/>
            <a:ea typeface="微软雅黑" panose="020B0503020204020204" pitchFamily="2" charset="-122"/>
          </a:endParaRPr>
        </a:p>
      </dgm:t>
    </dgm:pt>
    <dgm:pt modelId="{2359673B-2898-48E5-AC90-38B5B36F89A7}" cxnId="{025520B7-E028-4A4F-BEBA-5579E42552B6}" type="parTrans">
      <dgm:prSet/>
      <dgm:spPr/>
      <dgm:t>
        <a:bodyPr/>
        <a:p>
          <a:endParaRPr lang="zh-CN" altLang="en-US"/>
        </a:p>
      </dgm:t>
    </dgm:pt>
    <dgm:pt modelId="{56FDC5A2-AD45-4EC3-BE6D-A366018C90C3}" cxnId="{025520B7-E028-4A4F-BEBA-5579E42552B6}" type="sibTrans">
      <dgm:prSet custLinFactNeighborX="-7016" custLinFactNeighborY="0"/>
      <dgm:spPr/>
      <dgm:t>
        <a:bodyPr/>
        <a:p>
          <a:endParaRPr lang="zh-CN" altLang="en-US"/>
        </a:p>
      </dgm:t>
    </dgm:pt>
    <dgm:pt modelId="{AAF09E34-5CD7-40EC-8B22-E699BF26A07F}" type="pres">
      <dgm:prSet presAssocID="{AF3E0B63-EBC4-4637-8E70-4631954BF9C5}" presName="composite" presStyleCnt="0">
        <dgm:presLayoutVars>
          <dgm:chMax val="3"/>
          <dgm:animLvl val="lvl"/>
          <dgm:resizeHandles val="exact"/>
        </dgm:presLayoutVars>
      </dgm:prSet>
      <dgm:spPr/>
    </dgm:pt>
    <dgm:pt modelId="{D94539DA-6554-4741-BF7D-C4829601A5C3}" type="pres">
      <dgm:prSet presAssocID="{B7A868DB-D726-4905-8F44-9AB7D76DFE4B}" presName="gear1" presStyleLbl="node1" presStyleIdx="0" presStyleCnt="3" custLinFactNeighborX="2805">
        <dgm:presLayoutVars>
          <dgm:chMax val="1"/>
          <dgm:bulletEnabled val="1"/>
        </dgm:presLayoutVars>
      </dgm:prSet>
      <dgm:spPr/>
    </dgm:pt>
    <dgm:pt modelId="{37816044-1E63-44E4-8A26-5ED3516FE03B}" type="pres">
      <dgm:prSet presAssocID="{B7A868DB-D726-4905-8F44-9AB7D76DFE4B}" presName="gear1srcNode" presStyleLbl="node1" presStyleIdx="0" presStyleCnt="3"/>
      <dgm:spPr/>
    </dgm:pt>
    <dgm:pt modelId="{C262E752-99C2-4AD8-A5D2-8B8F811E0882}" type="pres">
      <dgm:prSet presAssocID="{B7A868DB-D726-4905-8F44-9AB7D76DFE4B}" presName="gear1dstNode" presStyleLbl="node1" presStyleIdx="0" presStyleCnt="3"/>
      <dgm:spPr/>
    </dgm:pt>
    <dgm:pt modelId="{D28FFC6E-27DD-431D-80E2-8741F30B8D5A}" type="pres">
      <dgm:prSet presAssocID="{32C142C3-DAC7-44BF-A858-EBEBA6D3DE92}" presName="gear2" presStyleLbl="node1" presStyleIdx="1" presStyleCnt="3" custScaleX="129108" custScaleY="123528" custLinFactNeighborX="-13288" custLinFactNeighborY="33482">
        <dgm:presLayoutVars>
          <dgm:chMax val="1"/>
          <dgm:bulletEnabled val="1"/>
        </dgm:presLayoutVars>
      </dgm:prSet>
      <dgm:spPr/>
    </dgm:pt>
    <dgm:pt modelId="{E2BA3AF8-DA06-4105-9FBA-81CCF69E3EC5}" type="pres">
      <dgm:prSet presAssocID="{32C142C3-DAC7-44BF-A858-EBEBA6D3DE92}" presName="gear2srcNode" presStyleLbl="node1" presStyleIdx="1" presStyleCnt="3"/>
      <dgm:spPr/>
    </dgm:pt>
    <dgm:pt modelId="{D813D106-AC9A-4B2C-9EDB-78C28B449F4C}" type="pres">
      <dgm:prSet presAssocID="{32C142C3-DAC7-44BF-A858-EBEBA6D3DE92}" presName="gear2dstNode" presStyleLbl="node1" presStyleIdx="1" presStyleCnt="3"/>
      <dgm:spPr/>
    </dgm:pt>
    <dgm:pt modelId="{A24C0F7D-71A5-4321-89C9-A1CB623B1AA6}" type="pres">
      <dgm:prSet presAssocID="{CDDEB1CC-5F89-465F-93D7-09E864840533}" presName="gear3" presStyleLbl="node1" presStyleIdx="2" presStyleCnt="3" custScaleX="124380" custScaleY="118961"/>
      <dgm:spPr/>
    </dgm:pt>
    <dgm:pt modelId="{99C4F827-BED5-4E7A-852A-01EF8B0F995C}" type="pres">
      <dgm:prSet presAssocID="{CDDEB1CC-5F89-465F-93D7-09E864840533}" presName="gear3tx" presStyleLbl="node1" presStyleIdx="2" presStyleCnt="3">
        <dgm:presLayoutVars>
          <dgm:chMax val="1"/>
          <dgm:bulletEnabled val="1"/>
        </dgm:presLayoutVars>
      </dgm:prSet>
      <dgm:spPr/>
    </dgm:pt>
    <dgm:pt modelId="{74976440-4332-4E45-A0AE-9BD764AF4FBA}" type="pres">
      <dgm:prSet presAssocID="{CDDEB1CC-5F89-465F-93D7-09E864840533}" presName="gear3srcNode" presStyleLbl="node1" presStyleIdx="2" presStyleCnt="3"/>
      <dgm:spPr/>
    </dgm:pt>
    <dgm:pt modelId="{987EAEF3-18BE-47E6-80E3-26E9E11D8D7C}" type="pres">
      <dgm:prSet presAssocID="{CDDEB1CC-5F89-465F-93D7-09E864840533}" presName="gear3dstNode" presStyleLbl="node1" presStyleIdx="2" presStyleCnt="3"/>
      <dgm:spPr/>
    </dgm:pt>
    <dgm:pt modelId="{88263667-B11B-41DC-A329-03EF5B742CC8}" type="pres">
      <dgm:prSet presAssocID="{FA12E1A8-7B4C-4CB3-ACA1-A2604DA9C812}" presName="connector1" presStyleLbl="sibTrans2D1" presStyleIdx="0" presStyleCnt="3"/>
      <dgm:spPr/>
    </dgm:pt>
    <dgm:pt modelId="{09385F6C-3481-4EBB-AD98-662CE33D81A1}" type="pres">
      <dgm:prSet presAssocID="{D985E980-CF01-4F3A-9200-7F0D5F753992}" presName="connector2" presStyleLbl="sibTrans2D1" presStyleIdx="1" presStyleCnt="3" custLinFactNeighborX="-23275" custLinFactNeighborY="27347"/>
      <dgm:spPr/>
    </dgm:pt>
    <dgm:pt modelId="{C2697E07-2FB5-4E37-9E87-7CF818C273F0}" type="pres">
      <dgm:prSet presAssocID="{7AA69B13-9D11-446F-9283-400D7A9028CB}" presName="connector3" presStyleLbl="sibTrans2D1" presStyleIdx="2" presStyleCnt="3" custLinFactNeighborX="-7016" custLinFactNeighborY="0"/>
      <dgm:spPr/>
    </dgm:pt>
  </dgm:ptLst>
  <dgm:cxnLst>
    <dgm:cxn modelId="{15B0EF20-C2A1-4C72-B34F-EE1B16348E1B}" srcId="{AF3E0B63-EBC4-4637-8E70-4631954BF9C5}" destId="{59648B6C-836B-4BAC-8BC4-0F1F6C03EBFC}" srcOrd="4" destOrd="0" parTransId="{461362D5-70E8-4579-9362-18E9153FEBB7}" sibTransId="{E76B69E1-0D56-47D6-AF58-0271D100A298}"/>
    <dgm:cxn modelId="{86205425-347B-4429-B390-4C9C46FD2CBD}" srcId="{AF3E0B63-EBC4-4637-8E70-4631954BF9C5}" destId="{DE9CDB26-8D29-4686-9E9A-BAFC46BED53B}" srcOrd="5" destOrd="0" parTransId="{DE9BFE56-7131-44D1-B74C-3D7B7CFD1FA2}" sibTransId="{072F7D69-EFEA-429F-951B-8AA9CE6AE2CA}"/>
    <dgm:cxn modelId="{55724133-D97A-401F-A1D5-D8AAA7A35303}" type="presOf" srcId="{B7A868DB-D726-4905-8F44-9AB7D76DFE4B}" destId="{37816044-1E63-44E4-8A26-5ED3516FE03B}" srcOrd="1" destOrd="0" presId="urn:microsoft.com/office/officeart/2005/8/layout/gear1"/>
    <dgm:cxn modelId="{25492347-E902-44A6-8F90-F826D2935B2E}" type="presOf" srcId="{CDDEB1CC-5F89-465F-93D7-09E864840533}" destId="{99C4F827-BED5-4E7A-852A-01EF8B0F995C}" srcOrd="1" destOrd="0" presId="urn:microsoft.com/office/officeart/2005/8/layout/gear1"/>
    <dgm:cxn modelId="{8D76F65A-05D1-4F60-B7DA-DF28C7B1F010}" type="presOf" srcId="{7AA69B13-9D11-446F-9283-400D7A9028CB}" destId="{C2697E07-2FB5-4E37-9E87-7CF818C273F0}" srcOrd="0" destOrd="0" presId="urn:microsoft.com/office/officeart/2005/8/layout/gear1"/>
    <dgm:cxn modelId="{2605606C-3D90-491C-BBEB-8E4C29F645B5}" type="presOf" srcId="{CDDEB1CC-5F89-465F-93D7-09E864840533}" destId="{A24C0F7D-71A5-4321-89C9-A1CB623B1AA6}" srcOrd="0" destOrd="0" presId="urn:microsoft.com/office/officeart/2005/8/layout/gear1"/>
    <dgm:cxn modelId="{C823BD73-A0DC-4E89-9398-A45554F7264F}" type="presOf" srcId="{CDDEB1CC-5F89-465F-93D7-09E864840533}" destId="{74976440-4332-4E45-A0AE-9BD764AF4FBA}" srcOrd="2" destOrd="0" presId="urn:microsoft.com/office/officeart/2005/8/layout/gear1"/>
    <dgm:cxn modelId="{EC5B3474-412A-4118-B1C7-FFBAF9388E50}" type="presOf" srcId="{FA12E1A8-7B4C-4CB3-ACA1-A2604DA9C812}" destId="{88263667-B11B-41DC-A329-03EF5B742CC8}" srcOrd="0" destOrd="0" presId="urn:microsoft.com/office/officeart/2005/8/layout/gear1"/>
    <dgm:cxn modelId="{3AA35D75-7A9C-4E37-8A3D-4BB8741A196A}" type="presOf" srcId="{CDDEB1CC-5F89-465F-93D7-09E864840533}" destId="{987EAEF3-18BE-47E6-80E3-26E9E11D8D7C}" srcOrd="3" destOrd="0" presId="urn:microsoft.com/office/officeart/2005/8/layout/gear1"/>
    <dgm:cxn modelId="{2D768595-6C84-42FD-B537-BE09A5302FE8}" srcId="{AF3E0B63-EBC4-4637-8E70-4631954BF9C5}" destId="{32C142C3-DAC7-44BF-A858-EBEBA6D3DE92}" srcOrd="1" destOrd="0" parTransId="{76BDAE7A-B9CC-485D-9AD2-283D92781531}" sibTransId="{D985E980-CF01-4F3A-9200-7F0D5F753992}"/>
    <dgm:cxn modelId="{465AAF9E-C34E-41A8-8729-751F3EAD486A}" type="presOf" srcId="{AF3E0B63-EBC4-4637-8E70-4631954BF9C5}" destId="{AAF09E34-5CD7-40EC-8B22-E699BF26A07F}" srcOrd="0" destOrd="0" presId="urn:microsoft.com/office/officeart/2005/8/layout/gear1"/>
    <dgm:cxn modelId="{8CBB96A4-40E7-43FE-A5A4-194827F46BB4}" srcId="{AF3E0B63-EBC4-4637-8E70-4631954BF9C5}" destId="{CDDEB1CC-5F89-465F-93D7-09E864840533}" srcOrd="2" destOrd="0" parTransId="{7B112CFC-EDD1-4B65-B1BB-F1AA4141F053}" sibTransId="{7AA69B13-9D11-446F-9283-400D7A9028CB}"/>
    <dgm:cxn modelId="{B7849AAD-E09E-42AB-9B3D-85DCB4A845F4}" srcId="{AF3E0B63-EBC4-4637-8E70-4631954BF9C5}" destId="{06949CB1-2671-4A66-BE83-E37F630E1814}" srcOrd="3" destOrd="0" parTransId="{7B5AE429-D0B8-4688-8615-3CDE4C9F8205}" sibTransId="{20B1AE17-8C3C-4D2A-B231-AFF2B651818E}"/>
    <dgm:cxn modelId="{F256CBB3-A7E5-4A4F-B2FC-248376A61D52}" type="presOf" srcId="{D985E980-CF01-4F3A-9200-7F0D5F753992}" destId="{09385F6C-3481-4EBB-AD98-662CE33D81A1}" srcOrd="0" destOrd="0" presId="urn:microsoft.com/office/officeart/2005/8/layout/gear1"/>
    <dgm:cxn modelId="{18213BB5-5F7C-42AE-8E55-1309E500B94E}" type="presOf" srcId="{32C142C3-DAC7-44BF-A858-EBEBA6D3DE92}" destId="{D813D106-AC9A-4B2C-9EDB-78C28B449F4C}" srcOrd="2" destOrd="0" presId="urn:microsoft.com/office/officeart/2005/8/layout/gear1"/>
    <dgm:cxn modelId="{E905D2B5-5050-4EA3-9BAD-C1C04ED7EB28}" type="presOf" srcId="{32C142C3-DAC7-44BF-A858-EBEBA6D3DE92}" destId="{E2BA3AF8-DA06-4105-9FBA-81CCF69E3EC5}" srcOrd="1" destOrd="0" presId="urn:microsoft.com/office/officeart/2005/8/layout/gear1"/>
    <dgm:cxn modelId="{025520B7-E028-4A4F-BEBA-5579E42552B6}" srcId="{AF3E0B63-EBC4-4637-8E70-4631954BF9C5}" destId="{56073DBA-46A9-4226-A8D6-D2994A73460E}" srcOrd="8" destOrd="0" parTransId="{2359673B-2898-48E5-AC90-38B5B36F89A7}" sibTransId="{56FDC5A2-AD45-4EC3-BE6D-A366018C90C3}"/>
    <dgm:cxn modelId="{7E26DAC1-B26A-40E1-85C9-54E9C6F77486}" srcId="{AF3E0B63-EBC4-4637-8E70-4631954BF9C5}" destId="{4AB74548-8000-40B4-BD21-78CF3E0B7784}" srcOrd="7" destOrd="0" parTransId="{BA9BAA2A-22D3-41C8-B386-470237F2A73A}" sibTransId="{9A6A8601-F38A-400D-BD87-97D7E185B71C}"/>
    <dgm:cxn modelId="{659B24DB-F511-41FC-A34C-BEEA18165039}" srcId="{AF3E0B63-EBC4-4637-8E70-4631954BF9C5}" destId="{B7A868DB-D726-4905-8F44-9AB7D76DFE4B}" srcOrd="0" destOrd="0" parTransId="{249E003A-3100-429F-926E-6F098F264EA5}" sibTransId="{FA12E1A8-7B4C-4CB3-ACA1-A2604DA9C812}"/>
    <dgm:cxn modelId="{8E5363DB-A15D-49E0-8E43-4FC8187BE3C0}" type="presOf" srcId="{B7A868DB-D726-4905-8F44-9AB7D76DFE4B}" destId="{C262E752-99C2-4AD8-A5D2-8B8F811E0882}" srcOrd="2" destOrd="0" presId="urn:microsoft.com/office/officeart/2005/8/layout/gear1"/>
    <dgm:cxn modelId="{CA23F3E2-0293-42CC-B5CC-6503E55DE812}" type="presOf" srcId="{32C142C3-DAC7-44BF-A858-EBEBA6D3DE92}" destId="{D28FFC6E-27DD-431D-80E2-8741F30B8D5A}" srcOrd="0" destOrd="0" presId="urn:microsoft.com/office/officeart/2005/8/layout/gear1"/>
    <dgm:cxn modelId="{BDEEDDF2-CA5D-4DB1-89D7-6671543BEDF5}" type="presOf" srcId="{B7A868DB-D726-4905-8F44-9AB7D76DFE4B}" destId="{D94539DA-6554-4741-BF7D-C4829601A5C3}" srcOrd="0" destOrd="0" presId="urn:microsoft.com/office/officeart/2005/8/layout/gear1"/>
    <dgm:cxn modelId="{40B4E3FB-2F6E-4F11-9F61-C4440BEEC6DC}" srcId="{AF3E0B63-EBC4-4637-8E70-4631954BF9C5}" destId="{2C7C3855-FF38-4D0C-A0A2-742BF59CA1A0}" srcOrd="6" destOrd="0" parTransId="{603B81E5-CAB1-46FB-9DD8-3908262D9072}" sibTransId="{7AE11883-D88E-43E4-BF15-99EFDB49FF86}"/>
    <dgm:cxn modelId="{1E5773EB-C559-4EBF-A581-861CF01B5F4C}" type="presParOf" srcId="{AAF09E34-5CD7-40EC-8B22-E699BF26A07F}" destId="{D94539DA-6554-4741-BF7D-C4829601A5C3}" srcOrd="0" destOrd="0" presId="urn:microsoft.com/office/officeart/2005/8/layout/gear1"/>
    <dgm:cxn modelId="{2C02AAFC-8A8D-4750-A5F5-9AE4825E9174}" type="presParOf" srcId="{AAF09E34-5CD7-40EC-8B22-E699BF26A07F}" destId="{37816044-1E63-44E4-8A26-5ED3516FE03B}" srcOrd="1" destOrd="0" presId="urn:microsoft.com/office/officeart/2005/8/layout/gear1"/>
    <dgm:cxn modelId="{60A25271-17DF-49AA-AC69-E4CCAF0EE9DA}" type="presParOf" srcId="{AAF09E34-5CD7-40EC-8B22-E699BF26A07F}" destId="{C262E752-99C2-4AD8-A5D2-8B8F811E0882}" srcOrd="2" destOrd="0" presId="urn:microsoft.com/office/officeart/2005/8/layout/gear1"/>
    <dgm:cxn modelId="{2DFC6173-2D75-4DCF-BA8E-F2E30BB00CD5}" type="presParOf" srcId="{AAF09E34-5CD7-40EC-8B22-E699BF26A07F}" destId="{D28FFC6E-27DD-431D-80E2-8741F30B8D5A}" srcOrd="3" destOrd="0" presId="urn:microsoft.com/office/officeart/2005/8/layout/gear1"/>
    <dgm:cxn modelId="{F96A5AB3-2D18-4FFA-9CF4-ED75EB07CD3D}" type="presParOf" srcId="{AAF09E34-5CD7-40EC-8B22-E699BF26A07F}" destId="{E2BA3AF8-DA06-4105-9FBA-81CCF69E3EC5}" srcOrd="4" destOrd="0" presId="urn:microsoft.com/office/officeart/2005/8/layout/gear1"/>
    <dgm:cxn modelId="{42FE71A4-B2A0-4BD0-B55C-20C1EBC86051}" type="presParOf" srcId="{AAF09E34-5CD7-40EC-8B22-E699BF26A07F}" destId="{D813D106-AC9A-4B2C-9EDB-78C28B449F4C}" srcOrd="5" destOrd="0" presId="urn:microsoft.com/office/officeart/2005/8/layout/gear1"/>
    <dgm:cxn modelId="{ADDBBAAB-BFB6-460A-9613-E325B556BD6D}" type="presParOf" srcId="{AAF09E34-5CD7-40EC-8B22-E699BF26A07F}" destId="{A24C0F7D-71A5-4321-89C9-A1CB623B1AA6}" srcOrd="6" destOrd="0" presId="urn:microsoft.com/office/officeart/2005/8/layout/gear1"/>
    <dgm:cxn modelId="{93FBDBA1-987E-4036-AE5D-BA8C62CC6880}" type="presParOf" srcId="{AAF09E34-5CD7-40EC-8B22-E699BF26A07F}" destId="{99C4F827-BED5-4E7A-852A-01EF8B0F995C}" srcOrd="7" destOrd="0" presId="urn:microsoft.com/office/officeart/2005/8/layout/gear1"/>
    <dgm:cxn modelId="{061D9F1B-0A10-481F-9940-9F9910FDA126}" type="presParOf" srcId="{AAF09E34-5CD7-40EC-8B22-E699BF26A07F}" destId="{74976440-4332-4E45-A0AE-9BD764AF4FBA}" srcOrd="8" destOrd="0" presId="urn:microsoft.com/office/officeart/2005/8/layout/gear1"/>
    <dgm:cxn modelId="{3DB9C21C-F2AA-4ECB-9A2D-5501DB45AEBF}" type="presParOf" srcId="{AAF09E34-5CD7-40EC-8B22-E699BF26A07F}" destId="{987EAEF3-18BE-47E6-80E3-26E9E11D8D7C}" srcOrd="9" destOrd="0" presId="urn:microsoft.com/office/officeart/2005/8/layout/gear1"/>
    <dgm:cxn modelId="{92E5D967-BC15-45E0-96A4-5E36023B599A}" type="presParOf" srcId="{AAF09E34-5CD7-40EC-8B22-E699BF26A07F}" destId="{88263667-B11B-41DC-A329-03EF5B742CC8}" srcOrd="10" destOrd="0" presId="urn:microsoft.com/office/officeart/2005/8/layout/gear1"/>
    <dgm:cxn modelId="{5ED2AAE5-37AB-4841-80DB-DFDFD9DD561A}" type="presParOf" srcId="{AAF09E34-5CD7-40EC-8B22-E699BF26A07F}" destId="{09385F6C-3481-4EBB-AD98-662CE33D81A1}" srcOrd="11" destOrd="0" presId="urn:microsoft.com/office/officeart/2005/8/layout/gear1"/>
    <dgm:cxn modelId="{DD1BB362-9C0C-4273-8343-2C6E2BE6C37D}" type="presParOf" srcId="{AAF09E34-5CD7-40EC-8B22-E699BF26A07F}" destId="{C2697E07-2FB5-4E37-9E87-7CF818C273F0}"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3E0B63-EBC4-4637-8E70-4631954BF9C5}" type="doc">
      <dgm:prSet loTypeId="urn:microsoft.com/office/officeart/2005/8/layout/gear1" loCatId="process" qsTypeId="urn:microsoft.com/office/officeart/2005/8/quickstyle/simple1" qsCatId="simple" csTypeId="urn:microsoft.com/office/officeart/2005/8/colors/colorful5" csCatId="colorful" phldr="1"/>
      <dgm:spPr/>
      <dgm:t>
        <a:bodyPr/>
        <a:p>
          <a:endParaRPr lang="zh-CN" altLang="en-US"/>
        </a:p>
      </dgm:t>
    </dgm:pt>
    <dgm:pt modelId="{B7A868DB-D726-4905-8F44-9AB7D76DFE4B}">
      <dgm:prSet phldrT="[文本]" custT="1"/>
      <dgm:spPr>
        <a:solidFill>
          <a:srgbClr val="78B4AD"/>
        </a:solidFill>
      </dgm:spPr>
      <dgm:t>
        <a:bodyPr/>
        <a:p>
          <a:r>
            <a:rPr lang="zh-CN" altLang="en-US" sz="1000">
              <a:latin typeface="微软雅黑" panose="020B0503020204020204" pitchFamily="2" charset="-122"/>
              <a:ea typeface="微软雅黑" panose="020B0503020204020204" pitchFamily="2" charset="-122"/>
            </a:rPr>
            <a:t>职业期待吻合度</a:t>
          </a:r>
          <a:r>
            <a:rPr lang="en-US" sz="1000">
              <a:latin typeface="微软雅黑" panose="020B0503020204020204" pitchFamily="2" charset="-122"/>
              <a:ea typeface="微软雅黑" panose="020B0503020204020204" pitchFamily="2" charset="-122"/>
            </a:rPr>
            <a:t>88.58%</a:t>
          </a:r>
          <a:endParaRPr lang="zh-CN" altLang="en-US" sz="1000">
            <a:latin typeface="微软雅黑" panose="020B0503020204020204" pitchFamily="2" charset="-122"/>
            <a:ea typeface="微软雅黑" panose="020B0503020204020204" pitchFamily="2" charset="-122"/>
          </a:endParaRPr>
        </a:p>
      </dgm:t>
    </dgm:pt>
    <dgm:pt modelId="{249E003A-3100-429F-926E-6F098F264EA5}" cxnId="{659B24DB-F511-41FC-A34C-BEEA18165039}" type="parTrans">
      <dgm:prSet/>
      <dgm:spPr/>
      <dgm:t>
        <a:bodyPr/>
        <a:p>
          <a:endParaRPr lang="zh-CN" altLang="en-US"/>
        </a:p>
      </dgm:t>
    </dgm:pt>
    <dgm:pt modelId="{FA12E1A8-7B4C-4CB3-ACA1-A2604DA9C812}" cxnId="{659B24DB-F511-41FC-A34C-BEEA18165039}" type="sibTrans">
      <dgm:prSet/>
      <dgm:spPr>
        <a:solidFill>
          <a:srgbClr val="78B4AD"/>
        </a:solidFill>
      </dgm:spPr>
      <dgm:t>
        <a:bodyPr/>
        <a:p>
          <a:endParaRPr lang="zh-CN" altLang="en-US"/>
        </a:p>
      </dgm:t>
    </dgm:pt>
    <dgm:pt modelId="{2C7C3855-FF38-4D0C-A0A2-742BF59CA1A0}">
      <dgm:prSet phldrT="[文本]" phldr="1"/>
      <dgm:spPr/>
      <dgm:t>
        <a:bodyPr/>
        <a:p>
          <a:endParaRPr lang="zh-CN" altLang="en-US" sz="1000">
            <a:latin typeface="微软雅黑" panose="020B0503020204020204" pitchFamily="2" charset="-122"/>
            <a:ea typeface="微软雅黑" panose="020B0503020204020204" pitchFamily="2" charset="-122"/>
          </a:endParaRPr>
        </a:p>
      </dgm:t>
    </dgm:pt>
    <dgm:pt modelId="{603B81E5-CAB1-46FB-9DD8-3908262D9072}" cxnId="{40B4E3FB-2F6E-4F11-9F61-C4440BEEC6DC}" type="parTrans">
      <dgm:prSet/>
      <dgm:spPr/>
      <dgm:t>
        <a:bodyPr/>
        <a:p>
          <a:endParaRPr lang="zh-CN" altLang="en-US"/>
        </a:p>
      </dgm:t>
    </dgm:pt>
    <dgm:pt modelId="{7AE11883-D88E-43E4-BF15-99EFDB49FF86}" cxnId="{40B4E3FB-2F6E-4F11-9F61-C4440BEEC6DC}" type="sibTrans">
      <dgm:prSet/>
      <dgm:spPr/>
      <dgm:t>
        <a:bodyPr/>
        <a:p>
          <a:endParaRPr lang="zh-CN" altLang="en-US"/>
        </a:p>
      </dgm:t>
    </dgm:pt>
    <dgm:pt modelId="{4AB74548-8000-40B4-BD21-78CF3E0B7784}">
      <dgm:prSet phldrT="[文本]" phldr="1"/>
      <dgm:spPr>
        <a:solidFill>
          <a:srgbClr val="FFC000"/>
        </a:solidFill>
      </dgm:spPr>
      <dgm:t>
        <a:bodyPr/>
        <a:p>
          <a:endParaRPr lang="zh-CN" altLang="en-US" sz="1000">
            <a:latin typeface="微软雅黑" panose="020B0503020204020204" pitchFamily="2" charset="-122"/>
            <a:ea typeface="微软雅黑" panose="020B0503020204020204" pitchFamily="2" charset="-122"/>
          </a:endParaRPr>
        </a:p>
      </dgm:t>
    </dgm:pt>
    <dgm:pt modelId="{BA9BAA2A-22D3-41C8-B386-470237F2A73A}" cxnId="{7E26DAC1-B26A-40E1-85C9-54E9C6F77486}" type="parTrans">
      <dgm:prSet/>
      <dgm:spPr/>
      <dgm:t>
        <a:bodyPr/>
        <a:p>
          <a:endParaRPr lang="zh-CN" altLang="en-US"/>
        </a:p>
      </dgm:t>
    </dgm:pt>
    <dgm:pt modelId="{9A6A8601-F38A-400D-BD87-97D7E185B71C}" cxnId="{7E26DAC1-B26A-40E1-85C9-54E9C6F77486}" type="sibTrans">
      <dgm:prSet/>
      <dgm:spPr>
        <a:solidFill>
          <a:srgbClr val="FFC000"/>
        </a:solidFill>
      </dgm:spPr>
      <dgm:t>
        <a:bodyPr/>
        <a:p>
          <a:endParaRPr lang="zh-CN" altLang="en-US"/>
        </a:p>
      </dgm:t>
    </dgm:pt>
    <dgm:pt modelId="{DE9CDB26-8D29-4686-9E9A-BAFC46BED53B}">
      <dgm:prSet/>
      <dgm:spPr/>
      <dgm:t>
        <a:bodyPr/>
        <a:p>
          <a:endParaRPr lang="zh-CN" altLang="en-US" sz="1000">
            <a:latin typeface="微软雅黑" panose="020B0503020204020204" pitchFamily="2" charset="-122"/>
            <a:ea typeface="微软雅黑" panose="020B0503020204020204" pitchFamily="2" charset="-122"/>
          </a:endParaRPr>
        </a:p>
      </dgm:t>
    </dgm:pt>
    <dgm:pt modelId="{DE9BFE56-7131-44D1-B74C-3D7B7CFD1FA2}" cxnId="{86205425-347B-4429-B390-4C9C46FD2CBD}" type="parTrans">
      <dgm:prSet/>
      <dgm:spPr/>
      <dgm:t>
        <a:bodyPr/>
        <a:p>
          <a:endParaRPr lang="zh-CN" altLang="en-US"/>
        </a:p>
      </dgm:t>
    </dgm:pt>
    <dgm:pt modelId="{072F7D69-EFEA-429F-951B-8AA9CE6AE2CA}" cxnId="{86205425-347B-4429-B390-4C9C46FD2CBD}" type="sibTrans">
      <dgm:prSet/>
      <dgm:spPr/>
      <dgm:t>
        <a:bodyPr/>
        <a:p>
          <a:endParaRPr lang="zh-CN" altLang="en-US"/>
        </a:p>
      </dgm:t>
    </dgm:pt>
    <dgm:pt modelId="{32C142C3-DAC7-44BF-A858-EBEBA6D3DE92}">
      <dgm:prSet custT="1"/>
      <dgm:spPr>
        <a:solidFill>
          <a:srgbClr val="92D050"/>
        </a:solidFill>
      </dgm:spPr>
      <dgm:t>
        <a:bodyPr/>
        <a:p>
          <a:r>
            <a:rPr lang="zh-CN" altLang="en-US" sz="1000">
              <a:latin typeface="微软雅黑" panose="020B0503020204020204" pitchFamily="2" charset="-122"/>
              <a:ea typeface="微软雅黑" panose="020B0503020204020204" pitchFamily="2" charset="-122"/>
            </a:rPr>
            <a:t>工作满意度</a:t>
          </a:r>
          <a:r>
            <a:rPr lang="en-US" sz="1000">
              <a:latin typeface="微软雅黑" panose="020B0503020204020204" pitchFamily="2" charset="-122"/>
              <a:ea typeface="微软雅黑" panose="020B0503020204020204" pitchFamily="2" charset="-122"/>
            </a:rPr>
            <a:t>91.74%</a:t>
          </a:r>
          <a:endParaRPr lang="zh-CN" altLang="en-US" sz="1000">
            <a:latin typeface="微软雅黑" panose="020B0503020204020204" pitchFamily="2" charset="-122"/>
            <a:ea typeface="微软雅黑" panose="020B0503020204020204" pitchFamily="2" charset="-122"/>
          </a:endParaRPr>
        </a:p>
      </dgm:t>
    </dgm:pt>
    <dgm:pt modelId="{76BDAE7A-B9CC-485D-9AD2-283D92781531}" cxnId="{2D768595-6C84-42FD-B537-BE09A5302FE8}" type="parTrans">
      <dgm:prSet/>
      <dgm:spPr/>
      <dgm:t>
        <a:bodyPr/>
        <a:p>
          <a:endParaRPr lang="zh-CN" altLang="en-US"/>
        </a:p>
      </dgm:t>
    </dgm:pt>
    <dgm:pt modelId="{D985E980-CF01-4F3A-9200-7F0D5F753992}" cxnId="{2D768595-6C84-42FD-B537-BE09A5302FE8}" type="sibTrans">
      <dgm:prSet/>
      <dgm:spPr>
        <a:solidFill>
          <a:srgbClr val="92D050"/>
        </a:solidFill>
      </dgm:spPr>
      <dgm:t>
        <a:bodyPr/>
        <a:p>
          <a:endParaRPr lang="zh-CN" altLang="en-US"/>
        </a:p>
      </dgm:t>
    </dgm:pt>
    <dgm:pt modelId="{CDDEB1CC-5F89-465F-93D7-09E864840533}">
      <dgm:prSet custT="1"/>
      <dgm:spPr>
        <a:solidFill>
          <a:srgbClr val="FFC000"/>
        </a:solidFill>
      </dgm:spPr>
      <dgm:t>
        <a:bodyPr/>
        <a:p>
          <a:r>
            <a:rPr lang="zh-CN" altLang="en-US" sz="1000">
              <a:solidFill>
                <a:schemeClr val="bg1"/>
              </a:solidFill>
              <a:latin typeface="微软雅黑" panose="020B0503020204020204" pitchFamily="2" charset="-122"/>
              <a:ea typeface="微软雅黑" panose="020B0503020204020204" pitchFamily="2" charset="-122"/>
            </a:rPr>
            <a:t>专业对口度</a:t>
          </a:r>
          <a:r>
            <a:rPr lang="x-none" sz="1000">
              <a:latin typeface="微软雅黑" panose="020B0503020204020204" pitchFamily="2" charset="-122"/>
              <a:ea typeface="微软雅黑" panose="020B0503020204020204" pitchFamily="2" charset="-122"/>
            </a:rPr>
            <a:t>83.48%</a:t>
          </a:r>
          <a:endParaRPr lang="zh-CN" altLang="en-US" sz="1000">
            <a:latin typeface="微软雅黑" panose="020B0503020204020204" pitchFamily="2" charset="-122"/>
            <a:ea typeface="微软雅黑" panose="020B0503020204020204" pitchFamily="2" charset="-122"/>
          </a:endParaRPr>
        </a:p>
      </dgm:t>
    </dgm:pt>
    <dgm:pt modelId="{7B112CFC-EDD1-4B65-B1BB-F1AA4141F053}" cxnId="{8CBB96A4-40E7-43FE-A5A4-194827F46BB4}" type="parTrans">
      <dgm:prSet/>
      <dgm:spPr/>
      <dgm:t>
        <a:bodyPr/>
        <a:p>
          <a:endParaRPr lang="zh-CN" altLang="en-US"/>
        </a:p>
      </dgm:t>
    </dgm:pt>
    <dgm:pt modelId="{7AA69B13-9D11-446F-9283-400D7A9028CB}" cxnId="{8CBB96A4-40E7-43FE-A5A4-194827F46BB4}" type="sibTrans">
      <dgm:prSet/>
      <dgm:spPr>
        <a:solidFill>
          <a:srgbClr val="FFC000"/>
        </a:solidFill>
        <a:ln>
          <a:solidFill>
            <a:srgbClr val="FFC000"/>
          </a:solidFill>
        </a:ln>
      </dgm:spPr>
      <dgm:t>
        <a:bodyPr/>
        <a:p>
          <a:endParaRPr lang="zh-CN" altLang="en-US"/>
        </a:p>
      </dgm:t>
    </dgm:pt>
    <dgm:pt modelId="{59648B6C-836B-4BAC-8BC4-0F1F6C03EBFC}">
      <dgm:prSet/>
      <dgm:spPr/>
      <dgm:t>
        <a:bodyPr/>
        <a:p>
          <a:endParaRPr lang="zh-CN" altLang="en-US" sz="1000">
            <a:latin typeface="微软雅黑" panose="020B0503020204020204" pitchFamily="2" charset="-122"/>
            <a:ea typeface="微软雅黑" panose="020B0503020204020204" pitchFamily="2" charset="-122"/>
          </a:endParaRPr>
        </a:p>
      </dgm:t>
    </dgm:pt>
    <dgm:pt modelId="{461362D5-70E8-4579-9362-18E9153FEBB7}" cxnId="{15B0EF20-C2A1-4C72-B34F-EE1B16348E1B}" type="parTrans">
      <dgm:prSet/>
      <dgm:spPr/>
      <dgm:t>
        <a:bodyPr/>
        <a:p>
          <a:endParaRPr lang="zh-CN" altLang="en-US"/>
        </a:p>
      </dgm:t>
    </dgm:pt>
    <dgm:pt modelId="{E76B69E1-0D56-47D6-AF58-0271D100A298}" cxnId="{15B0EF20-C2A1-4C72-B34F-EE1B16348E1B}" type="sibTrans">
      <dgm:prSet/>
      <dgm:spPr/>
      <dgm:t>
        <a:bodyPr/>
        <a:p>
          <a:endParaRPr lang="zh-CN" altLang="en-US"/>
        </a:p>
      </dgm:t>
    </dgm:pt>
    <dgm:pt modelId="{06949CB1-2671-4A66-BE83-E37F630E1814}">
      <dgm:prSet/>
      <dgm:spPr/>
      <dgm:t>
        <a:bodyPr/>
        <a:p>
          <a:endParaRPr lang="zh-CN" altLang="en-US" sz="1000">
            <a:latin typeface="微软雅黑" panose="020B0503020204020204" pitchFamily="2" charset="-122"/>
            <a:ea typeface="微软雅黑" panose="020B0503020204020204" pitchFamily="2" charset="-122"/>
          </a:endParaRPr>
        </a:p>
      </dgm:t>
    </dgm:pt>
    <dgm:pt modelId="{7B5AE429-D0B8-4688-8615-3CDE4C9F8205}" cxnId="{B7849AAD-E09E-42AB-9B3D-85DCB4A845F4}" type="parTrans">
      <dgm:prSet/>
      <dgm:spPr/>
      <dgm:t>
        <a:bodyPr/>
        <a:p>
          <a:endParaRPr lang="zh-CN" altLang="en-US"/>
        </a:p>
      </dgm:t>
    </dgm:pt>
    <dgm:pt modelId="{20B1AE17-8C3C-4D2A-B231-AFF2B651818E}" cxnId="{B7849AAD-E09E-42AB-9B3D-85DCB4A845F4}" type="sibTrans">
      <dgm:prSet/>
      <dgm:spPr/>
      <dgm:t>
        <a:bodyPr/>
        <a:p>
          <a:endParaRPr lang="zh-CN" altLang="en-US"/>
        </a:p>
      </dgm:t>
    </dgm:pt>
    <dgm:pt modelId="{56073DBA-46A9-4226-A8D6-D2994A73460E}">
      <dgm:prSet custScaleX="117700" custScaleY="114501"/>
      <dgm:spPr>
        <a:solidFill>
          <a:srgbClr val="FFC000"/>
        </a:solidFill>
      </dgm:spPr>
      <dgm:t>
        <a:bodyPr/>
        <a:p>
          <a:endParaRPr lang="zh-CN" altLang="en-US" sz="1000">
            <a:latin typeface="微软雅黑" panose="020B0503020204020204" pitchFamily="2" charset="-122"/>
            <a:ea typeface="微软雅黑" panose="020B0503020204020204" pitchFamily="2" charset="-122"/>
          </a:endParaRPr>
        </a:p>
      </dgm:t>
    </dgm:pt>
    <dgm:pt modelId="{2359673B-2898-48E5-AC90-38B5B36F89A7}" cxnId="{025520B7-E028-4A4F-BEBA-5579E42552B6}" type="parTrans">
      <dgm:prSet/>
      <dgm:spPr/>
      <dgm:t>
        <a:bodyPr/>
        <a:p>
          <a:endParaRPr lang="zh-CN" altLang="en-US"/>
        </a:p>
      </dgm:t>
    </dgm:pt>
    <dgm:pt modelId="{56FDC5A2-AD45-4EC3-BE6D-A366018C90C3}" cxnId="{025520B7-E028-4A4F-BEBA-5579E42552B6}" type="sibTrans">
      <dgm:prSet custLinFactNeighborX="-7016" custLinFactNeighborY="0"/>
      <dgm:spPr/>
      <dgm:t>
        <a:bodyPr/>
        <a:p>
          <a:endParaRPr lang="zh-CN" altLang="en-US"/>
        </a:p>
      </dgm:t>
    </dgm:pt>
    <dgm:pt modelId="{AAF09E34-5CD7-40EC-8B22-E699BF26A07F}" type="pres">
      <dgm:prSet presAssocID="{AF3E0B63-EBC4-4637-8E70-4631954BF9C5}" presName="composite" presStyleCnt="0">
        <dgm:presLayoutVars>
          <dgm:chMax val="3"/>
          <dgm:animLvl val="lvl"/>
          <dgm:resizeHandles val="exact"/>
        </dgm:presLayoutVars>
      </dgm:prSet>
      <dgm:spPr/>
    </dgm:pt>
    <dgm:pt modelId="{D94539DA-6554-4741-BF7D-C4829601A5C3}" type="pres">
      <dgm:prSet presAssocID="{B7A868DB-D726-4905-8F44-9AB7D76DFE4B}" presName="gear1" presStyleLbl="node1" presStyleIdx="0" presStyleCnt="3">
        <dgm:presLayoutVars>
          <dgm:chMax val="1"/>
          <dgm:bulletEnabled val="1"/>
        </dgm:presLayoutVars>
      </dgm:prSet>
      <dgm:spPr/>
    </dgm:pt>
    <dgm:pt modelId="{37816044-1E63-44E4-8A26-5ED3516FE03B}" type="pres">
      <dgm:prSet presAssocID="{B7A868DB-D726-4905-8F44-9AB7D76DFE4B}" presName="gear1srcNode" presStyleLbl="node1" presStyleIdx="0" presStyleCnt="3"/>
      <dgm:spPr/>
    </dgm:pt>
    <dgm:pt modelId="{C262E752-99C2-4AD8-A5D2-8B8F811E0882}" type="pres">
      <dgm:prSet presAssocID="{B7A868DB-D726-4905-8F44-9AB7D76DFE4B}" presName="gear1dstNode" presStyleLbl="node1" presStyleIdx="0" presStyleCnt="3"/>
      <dgm:spPr/>
    </dgm:pt>
    <dgm:pt modelId="{D28FFC6E-27DD-431D-80E2-8741F30B8D5A}" type="pres">
      <dgm:prSet presAssocID="{32C142C3-DAC7-44BF-A858-EBEBA6D3DE92}" presName="gear2" presStyleLbl="node1" presStyleIdx="1" presStyleCnt="3" custScaleX="138816" custScaleY="133326" custLinFactNeighborX="-14295" custLinFactNeighborY="39247">
        <dgm:presLayoutVars>
          <dgm:chMax val="1"/>
          <dgm:bulletEnabled val="1"/>
        </dgm:presLayoutVars>
      </dgm:prSet>
      <dgm:spPr/>
    </dgm:pt>
    <dgm:pt modelId="{E2BA3AF8-DA06-4105-9FBA-81CCF69E3EC5}" type="pres">
      <dgm:prSet presAssocID="{32C142C3-DAC7-44BF-A858-EBEBA6D3DE92}" presName="gear2srcNode" presStyleLbl="node1" presStyleIdx="1" presStyleCnt="3"/>
      <dgm:spPr/>
    </dgm:pt>
    <dgm:pt modelId="{D813D106-AC9A-4B2C-9EDB-78C28B449F4C}" type="pres">
      <dgm:prSet presAssocID="{32C142C3-DAC7-44BF-A858-EBEBA6D3DE92}" presName="gear2dstNode" presStyleLbl="node1" presStyleIdx="1" presStyleCnt="3"/>
      <dgm:spPr/>
    </dgm:pt>
    <dgm:pt modelId="{A24C0F7D-71A5-4321-89C9-A1CB623B1AA6}" type="pres">
      <dgm:prSet presAssocID="{CDDEB1CC-5F89-465F-93D7-09E864840533}" presName="gear3" presStyleLbl="node1" presStyleIdx="2" presStyleCnt="3" custScaleX="133820" custScaleY="124862"/>
      <dgm:spPr/>
    </dgm:pt>
    <dgm:pt modelId="{99C4F827-BED5-4E7A-852A-01EF8B0F995C}" type="pres">
      <dgm:prSet presAssocID="{CDDEB1CC-5F89-465F-93D7-09E864840533}" presName="gear3tx" presStyleLbl="node1" presStyleIdx="2" presStyleCnt="3">
        <dgm:presLayoutVars>
          <dgm:chMax val="1"/>
          <dgm:bulletEnabled val="1"/>
        </dgm:presLayoutVars>
      </dgm:prSet>
      <dgm:spPr/>
    </dgm:pt>
    <dgm:pt modelId="{74976440-4332-4E45-A0AE-9BD764AF4FBA}" type="pres">
      <dgm:prSet presAssocID="{CDDEB1CC-5F89-465F-93D7-09E864840533}" presName="gear3srcNode" presStyleLbl="node1" presStyleIdx="2" presStyleCnt="3"/>
      <dgm:spPr/>
    </dgm:pt>
    <dgm:pt modelId="{987EAEF3-18BE-47E6-80E3-26E9E11D8D7C}" type="pres">
      <dgm:prSet presAssocID="{CDDEB1CC-5F89-465F-93D7-09E864840533}" presName="gear3dstNode" presStyleLbl="node1" presStyleIdx="2" presStyleCnt="3"/>
      <dgm:spPr/>
    </dgm:pt>
    <dgm:pt modelId="{88263667-B11B-41DC-A329-03EF5B742CC8}" type="pres">
      <dgm:prSet presAssocID="{FA12E1A8-7B4C-4CB3-ACA1-A2604DA9C812}" presName="connector1" presStyleLbl="sibTrans2D1" presStyleIdx="0" presStyleCnt="3"/>
      <dgm:spPr/>
    </dgm:pt>
    <dgm:pt modelId="{09385F6C-3481-4EBB-AD98-662CE33D81A1}" type="pres">
      <dgm:prSet presAssocID="{D985E980-CF01-4F3A-9200-7F0D5F753992}" presName="connector2" presStyleLbl="sibTrans2D1" presStyleIdx="1" presStyleCnt="3" custLinFactNeighborX="-23275" custLinFactNeighborY="27347"/>
      <dgm:spPr/>
    </dgm:pt>
    <dgm:pt modelId="{C2697E07-2FB5-4E37-9E87-7CF818C273F0}" type="pres">
      <dgm:prSet presAssocID="{7AA69B13-9D11-446F-9283-400D7A9028CB}" presName="connector3" presStyleLbl="sibTrans2D1" presStyleIdx="2" presStyleCnt="3" custLinFactNeighborX="-7016" custLinFactNeighborY="0"/>
      <dgm:spPr/>
    </dgm:pt>
  </dgm:ptLst>
  <dgm:cxnLst>
    <dgm:cxn modelId="{15B0EF20-C2A1-4C72-B34F-EE1B16348E1B}" srcId="{AF3E0B63-EBC4-4637-8E70-4631954BF9C5}" destId="{59648B6C-836B-4BAC-8BC4-0F1F6C03EBFC}" srcOrd="4" destOrd="0" parTransId="{461362D5-70E8-4579-9362-18E9153FEBB7}" sibTransId="{E76B69E1-0D56-47D6-AF58-0271D100A298}"/>
    <dgm:cxn modelId="{86205425-347B-4429-B390-4C9C46FD2CBD}" srcId="{AF3E0B63-EBC4-4637-8E70-4631954BF9C5}" destId="{DE9CDB26-8D29-4686-9E9A-BAFC46BED53B}" srcOrd="5" destOrd="0" parTransId="{DE9BFE56-7131-44D1-B74C-3D7B7CFD1FA2}" sibTransId="{072F7D69-EFEA-429F-951B-8AA9CE6AE2CA}"/>
    <dgm:cxn modelId="{55724133-D97A-401F-A1D5-D8AAA7A35303}" type="presOf" srcId="{B7A868DB-D726-4905-8F44-9AB7D76DFE4B}" destId="{37816044-1E63-44E4-8A26-5ED3516FE03B}" srcOrd="1" destOrd="0" presId="urn:microsoft.com/office/officeart/2005/8/layout/gear1"/>
    <dgm:cxn modelId="{25492347-E902-44A6-8F90-F826D2935B2E}" type="presOf" srcId="{CDDEB1CC-5F89-465F-93D7-09E864840533}" destId="{99C4F827-BED5-4E7A-852A-01EF8B0F995C}" srcOrd="1" destOrd="0" presId="urn:microsoft.com/office/officeart/2005/8/layout/gear1"/>
    <dgm:cxn modelId="{8D76F65A-05D1-4F60-B7DA-DF28C7B1F010}" type="presOf" srcId="{7AA69B13-9D11-446F-9283-400D7A9028CB}" destId="{C2697E07-2FB5-4E37-9E87-7CF818C273F0}" srcOrd="0" destOrd="0" presId="urn:microsoft.com/office/officeart/2005/8/layout/gear1"/>
    <dgm:cxn modelId="{2605606C-3D90-491C-BBEB-8E4C29F645B5}" type="presOf" srcId="{CDDEB1CC-5F89-465F-93D7-09E864840533}" destId="{A24C0F7D-71A5-4321-89C9-A1CB623B1AA6}" srcOrd="0" destOrd="0" presId="urn:microsoft.com/office/officeart/2005/8/layout/gear1"/>
    <dgm:cxn modelId="{C823BD73-A0DC-4E89-9398-A45554F7264F}" type="presOf" srcId="{CDDEB1CC-5F89-465F-93D7-09E864840533}" destId="{74976440-4332-4E45-A0AE-9BD764AF4FBA}" srcOrd="2" destOrd="0" presId="urn:microsoft.com/office/officeart/2005/8/layout/gear1"/>
    <dgm:cxn modelId="{EC5B3474-412A-4118-B1C7-FFBAF9388E50}" type="presOf" srcId="{FA12E1A8-7B4C-4CB3-ACA1-A2604DA9C812}" destId="{88263667-B11B-41DC-A329-03EF5B742CC8}" srcOrd="0" destOrd="0" presId="urn:microsoft.com/office/officeart/2005/8/layout/gear1"/>
    <dgm:cxn modelId="{3AA35D75-7A9C-4E37-8A3D-4BB8741A196A}" type="presOf" srcId="{CDDEB1CC-5F89-465F-93D7-09E864840533}" destId="{987EAEF3-18BE-47E6-80E3-26E9E11D8D7C}" srcOrd="3" destOrd="0" presId="urn:microsoft.com/office/officeart/2005/8/layout/gear1"/>
    <dgm:cxn modelId="{2D768595-6C84-42FD-B537-BE09A5302FE8}" srcId="{AF3E0B63-EBC4-4637-8E70-4631954BF9C5}" destId="{32C142C3-DAC7-44BF-A858-EBEBA6D3DE92}" srcOrd="1" destOrd="0" parTransId="{76BDAE7A-B9CC-485D-9AD2-283D92781531}" sibTransId="{D985E980-CF01-4F3A-9200-7F0D5F753992}"/>
    <dgm:cxn modelId="{465AAF9E-C34E-41A8-8729-751F3EAD486A}" type="presOf" srcId="{AF3E0B63-EBC4-4637-8E70-4631954BF9C5}" destId="{AAF09E34-5CD7-40EC-8B22-E699BF26A07F}" srcOrd="0" destOrd="0" presId="urn:microsoft.com/office/officeart/2005/8/layout/gear1"/>
    <dgm:cxn modelId="{8CBB96A4-40E7-43FE-A5A4-194827F46BB4}" srcId="{AF3E0B63-EBC4-4637-8E70-4631954BF9C5}" destId="{CDDEB1CC-5F89-465F-93D7-09E864840533}" srcOrd="2" destOrd="0" parTransId="{7B112CFC-EDD1-4B65-B1BB-F1AA4141F053}" sibTransId="{7AA69B13-9D11-446F-9283-400D7A9028CB}"/>
    <dgm:cxn modelId="{B7849AAD-E09E-42AB-9B3D-85DCB4A845F4}" srcId="{AF3E0B63-EBC4-4637-8E70-4631954BF9C5}" destId="{06949CB1-2671-4A66-BE83-E37F630E1814}" srcOrd="3" destOrd="0" parTransId="{7B5AE429-D0B8-4688-8615-3CDE4C9F8205}" sibTransId="{20B1AE17-8C3C-4D2A-B231-AFF2B651818E}"/>
    <dgm:cxn modelId="{F256CBB3-A7E5-4A4F-B2FC-248376A61D52}" type="presOf" srcId="{D985E980-CF01-4F3A-9200-7F0D5F753992}" destId="{09385F6C-3481-4EBB-AD98-662CE33D81A1}" srcOrd="0" destOrd="0" presId="urn:microsoft.com/office/officeart/2005/8/layout/gear1"/>
    <dgm:cxn modelId="{18213BB5-5F7C-42AE-8E55-1309E500B94E}" type="presOf" srcId="{32C142C3-DAC7-44BF-A858-EBEBA6D3DE92}" destId="{D813D106-AC9A-4B2C-9EDB-78C28B449F4C}" srcOrd="2" destOrd="0" presId="urn:microsoft.com/office/officeart/2005/8/layout/gear1"/>
    <dgm:cxn modelId="{E905D2B5-5050-4EA3-9BAD-C1C04ED7EB28}" type="presOf" srcId="{32C142C3-DAC7-44BF-A858-EBEBA6D3DE92}" destId="{E2BA3AF8-DA06-4105-9FBA-81CCF69E3EC5}" srcOrd="1" destOrd="0" presId="urn:microsoft.com/office/officeart/2005/8/layout/gear1"/>
    <dgm:cxn modelId="{025520B7-E028-4A4F-BEBA-5579E42552B6}" srcId="{AF3E0B63-EBC4-4637-8E70-4631954BF9C5}" destId="{56073DBA-46A9-4226-A8D6-D2994A73460E}" srcOrd="8" destOrd="0" parTransId="{2359673B-2898-48E5-AC90-38B5B36F89A7}" sibTransId="{56FDC5A2-AD45-4EC3-BE6D-A366018C90C3}"/>
    <dgm:cxn modelId="{7E26DAC1-B26A-40E1-85C9-54E9C6F77486}" srcId="{AF3E0B63-EBC4-4637-8E70-4631954BF9C5}" destId="{4AB74548-8000-40B4-BD21-78CF3E0B7784}" srcOrd="7" destOrd="0" parTransId="{BA9BAA2A-22D3-41C8-B386-470237F2A73A}" sibTransId="{9A6A8601-F38A-400D-BD87-97D7E185B71C}"/>
    <dgm:cxn modelId="{659B24DB-F511-41FC-A34C-BEEA18165039}" srcId="{AF3E0B63-EBC4-4637-8E70-4631954BF9C5}" destId="{B7A868DB-D726-4905-8F44-9AB7D76DFE4B}" srcOrd="0" destOrd="0" parTransId="{249E003A-3100-429F-926E-6F098F264EA5}" sibTransId="{FA12E1A8-7B4C-4CB3-ACA1-A2604DA9C812}"/>
    <dgm:cxn modelId="{8E5363DB-A15D-49E0-8E43-4FC8187BE3C0}" type="presOf" srcId="{B7A868DB-D726-4905-8F44-9AB7D76DFE4B}" destId="{C262E752-99C2-4AD8-A5D2-8B8F811E0882}" srcOrd="2" destOrd="0" presId="urn:microsoft.com/office/officeart/2005/8/layout/gear1"/>
    <dgm:cxn modelId="{CA23F3E2-0293-42CC-B5CC-6503E55DE812}" type="presOf" srcId="{32C142C3-DAC7-44BF-A858-EBEBA6D3DE92}" destId="{D28FFC6E-27DD-431D-80E2-8741F30B8D5A}" srcOrd="0" destOrd="0" presId="urn:microsoft.com/office/officeart/2005/8/layout/gear1"/>
    <dgm:cxn modelId="{BDEEDDF2-CA5D-4DB1-89D7-6671543BEDF5}" type="presOf" srcId="{B7A868DB-D726-4905-8F44-9AB7D76DFE4B}" destId="{D94539DA-6554-4741-BF7D-C4829601A5C3}" srcOrd="0" destOrd="0" presId="urn:microsoft.com/office/officeart/2005/8/layout/gear1"/>
    <dgm:cxn modelId="{40B4E3FB-2F6E-4F11-9F61-C4440BEEC6DC}" srcId="{AF3E0B63-EBC4-4637-8E70-4631954BF9C5}" destId="{2C7C3855-FF38-4D0C-A0A2-742BF59CA1A0}" srcOrd="6" destOrd="0" parTransId="{603B81E5-CAB1-46FB-9DD8-3908262D9072}" sibTransId="{7AE11883-D88E-43E4-BF15-99EFDB49FF86}"/>
    <dgm:cxn modelId="{1E5773EB-C559-4EBF-A581-861CF01B5F4C}" type="presParOf" srcId="{AAF09E34-5CD7-40EC-8B22-E699BF26A07F}" destId="{D94539DA-6554-4741-BF7D-C4829601A5C3}" srcOrd="0" destOrd="0" presId="urn:microsoft.com/office/officeart/2005/8/layout/gear1"/>
    <dgm:cxn modelId="{2C02AAFC-8A8D-4750-A5F5-9AE4825E9174}" type="presParOf" srcId="{AAF09E34-5CD7-40EC-8B22-E699BF26A07F}" destId="{37816044-1E63-44E4-8A26-5ED3516FE03B}" srcOrd="1" destOrd="0" presId="urn:microsoft.com/office/officeart/2005/8/layout/gear1"/>
    <dgm:cxn modelId="{60A25271-17DF-49AA-AC69-E4CCAF0EE9DA}" type="presParOf" srcId="{AAF09E34-5CD7-40EC-8B22-E699BF26A07F}" destId="{C262E752-99C2-4AD8-A5D2-8B8F811E0882}" srcOrd="2" destOrd="0" presId="urn:microsoft.com/office/officeart/2005/8/layout/gear1"/>
    <dgm:cxn modelId="{2DFC6173-2D75-4DCF-BA8E-F2E30BB00CD5}" type="presParOf" srcId="{AAF09E34-5CD7-40EC-8B22-E699BF26A07F}" destId="{D28FFC6E-27DD-431D-80E2-8741F30B8D5A}" srcOrd="3" destOrd="0" presId="urn:microsoft.com/office/officeart/2005/8/layout/gear1"/>
    <dgm:cxn modelId="{F96A5AB3-2D18-4FFA-9CF4-ED75EB07CD3D}" type="presParOf" srcId="{AAF09E34-5CD7-40EC-8B22-E699BF26A07F}" destId="{E2BA3AF8-DA06-4105-9FBA-81CCF69E3EC5}" srcOrd="4" destOrd="0" presId="urn:microsoft.com/office/officeart/2005/8/layout/gear1"/>
    <dgm:cxn modelId="{42FE71A4-B2A0-4BD0-B55C-20C1EBC86051}" type="presParOf" srcId="{AAF09E34-5CD7-40EC-8B22-E699BF26A07F}" destId="{D813D106-AC9A-4B2C-9EDB-78C28B449F4C}" srcOrd="5" destOrd="0" presId="urn:microsoft.com/office/officeart/2005/8/layout/gear1"/>
    <dgm:cxn modelId="{ADDBBAAB-BFB6-460A-9613-E325B556BD6D}" type="presParOf" srcId="{AAF09E34-5CD7-40EC-8B22-E699BF26A07F}" destId="{A24C0F7D-71A5-4321-89C9-A1CB623B1AA6}" srcOrd="6" destOrd="0" presId="urn:microsoft.com/office/officeart/2005/8/layout/gear1"/>
    <dgm:cxn modelId="{93FBDBA1-987E-4036-AE5D-BA8C62CC6880}" type="presParOf" srcId="{AAF09E34-5CD7-40EC-8B22-E699BF26A07F}" destId="{99C4F827-BED5-4E7A-852A-01EF8B0F995C}" srcOrd="7" destOrd="0" presId="urn:microsoft.com/office/officeart/2005/8/layout/gear1"/>
    <dgm:cxn modelId="{061D9F1B-0A10-481F-9940-9F9910FDA126}" type="presParOf" srcId="{AAF09E34-5CD7-40EC-8B22-E699BF26A07F}" destId="{74976440-4332-4E45-A0AE-9BD764AF4FBA}" srcOrd="8" destOrd="0" presId="urn:microsoft.com/office/officeart/2005/8/layout/gear1"/>
    <dgm:cxn modelId="{3DB9C21C-F2AA-4ECB-9A2D-5501DB45AEBF}" type="presParOf" srcId="{AAF09E34-5CD7-40EC-8B22-E699BF26A07F}" destId="{987EAEF3-18BE-47E6-80E3-26E9E11D8D7C}" srcOrd="9" destOrd="0" presId="urn:microsoft.com/office/officeart/2005/8/layout/gear1"/>
    <dgm:cxn modelId="{92E5D967-BC15-45E0-96A4-5E36023B599A}" type="presParOf" srcId="{AAF09E34-5CD7-40EC-8B22-E699BF26A07F}" destId="{88263667-B11B-41DC-A329-03EF5B742CC8}" srcOrd="10" destOrd="0" presId="urn:microsoft.com/office/officeart/2005/8/layout/gear1"/>
    <dgm:cxn modelId="{5ED2AAE5-37AB-4841-80DB-DFDFD9DD561A}" type="presParOf" srcId="{AAF09E34-5CD7-40EC-8B22-E699BF26A07F}" destId="{09385F6C-3481-4EBB-AD98-662CE33D81A1}" srcOrd="11" destOrd="0" presId="urn:microsoft.com/office/officeart/2005/8/layout/gear1"/>
    <dgm:cxn modelId="{DD1BB362-9C0C-4273-8343-2C6E2BE6C37D}" type="presParOf" srcId="{AAF09E34-5CD7-40EC-8B22-E699BF26A07F}" destId="{C2697E07-2FB5-4E37-9E87-7CF818C273F0}" srcOrd="12" destOrd="0" presId="urn:microsoft.com/office/officeart/2005/8/layout/gear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539DA-6554-4741-BF7D-C4829601A5C3}">
      <dsp:nvSpPr>
        <dsp:cNvPr id="0" name=""/>
        <dsp:cNvSpPr/>
      </dsp:nvSpPr>
      <dsp:spPr>
        <a:xfrm>
          <a:off x="2700290" y="1229315"/>
          <a:ext cx="1430178" cy="1430178"/>
        </a:xfrm>
        <a:prstGeom prst="gear9">
          <a:avLst/>
        </a:prstGeom>
        <a:solidFill>
          <a:srgbClr val="78B4A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职业期待吻合度</a:t>
          </a:r>
          <a:r>
            <a:rPr lang="en-US" sz="1000" kern="1200">
              <a:latin typeface="微软雅黑" panose="020B0503020204020204" pitchFamily="34" charset="-122"/>
              <a:ea typeface="微软雅黑" panose="020B0503020204020204" pitchFamily="34" charset="-122"/>
            </a:rPr>
            <a:t>84.49%</a:t>
          </a:r>
          <a:endParaRPr lang="zh-CN" altLang="en-US" sz="1000" kern="1200">
            <a:latin typeface="微软雅黑" panose="020B0503020204020204" pitchFamily="34" charset="-122"/>
            <a:ea typeface="微软雅黑" panose="020B0503020204020204" pitchFamily="34" charset="-122"/>
          </a:endParaRPr>
        </a:p>
      </dsp:txBody>
      <dsp:txXfrm>
        <a:off x="2987819" y="1564327"/>
        <a:ext cx="855120" cy="735141"/>
      </dsp:txXfrm>
    </dsp:sp>
    <dsp:sp modelId="{D28FFC6E-27DD-431D-80E2-8741F30B8D5A}">
      <dsp:nvSpPr>
        <dsp:cNvPr id="0" name=""/>
        <dsp:cNvSpPr/>
      </dsp:nvSpPr>
      <dsp:spPr>
        <a:xfrm>
          <a:off x="1538476" y="1117168"/>
          <a:ext cx="1342891" cy="1284851"/>
        </a:xfrm>
        <a:prstGeom prst="gear6">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工作满意度</a:t>
          </a:r>
          <a:r>
            <a:rPr lang="en-US" sz="1000" kern="1200">
              <a:latin typeface="微软雅黑" panose="020B0503020204020204" pitchFamily="34" charset="-122"/>
              <a:ea typeface="微软雅黑" panose="020B0503020204020204" pitchFamily="34" charset="-122"/>
            </a:rPr>
            <a:t>92.31%</a:t>
          </a:r>
          <a:endParaRPr lang="zh-CN" altLang="en-US" sz="1000" kern="1200">
            <a:latin typeface="微软雅黑" panose="020B0503020204020204" pitchFamily="34" charset="-122"/>
            <a:ea typeface="微软雅黑" panose="020B0503020204020204" pitchFamily="34" charset="-122"/>
          </a:endParaRPr>
        </a:p>
      </dsp:txBody>
      <dsp:txXfrm>
        <a:off x="1870378" y="1442588"/>
        <a:ext cx="679087" cy="634011"/>
      </dsp:txXfrm>
    </dsp:sp>
    <dsp:sp modelId="{A24C0F7D-71A5-4321-89C9-A1CB623B1AA6}">
      <dsp:nvSpPr>
        <dsp:cNvPr id="0" name=""/>
        <dsp:cNvSpPr/>
      </dsp:nvSpPr>
      <dsp:spPr>
        <a:xfrm rot="20700000">
          <a:off x="2276313" y="87172"/>
          <a:ext cx="1287785" cy="1192149"/>
        </a:xfrm>
        <a:prstGeom prst="gear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chemeClr val="bg1"/>
              </a:solidFill>
              <a:latin typeface="微软雅黑" panose="020B0503020204020204" pitchFamily="34" charset="-122"/>
              <a:ea typeface="微软雅黑" panose="020B0503020204020204" pitchFamily="34" charset="-122"/>
            </a:rPr>
            <a:t>专业对口度</a:t>
          </a:r>
          <a:r>
            <a:rPr lang="x-none" sz="1000" kern="1200">
              <a:latin typeface="微软雅黑" panose="020B0503020204020204" pitchFamily="34" charset="-122"/>
              <a:ea typeface="微软雅黑" panose="020B0503020204020204" pitchFamily="34" charset="-122"/>
            </a:rPr>
            <a:t>72.70%</a:t>
          </a:r>
          <a:endParaRPr lang="zh-CN" altLang="en-US" sz="1000" kern="1200">
            <a:latin typeface="微软雅黑" panose="020B0503020204020204" pitchFamily="34" charset="-122"/>
            <a:ea typeface="微软雅黑" panose="020B0503020204020204" pitchFamily="34" charset="-122"/>
          </a:endParaRPr>
        </a:p>
      </dsp:txBody>
      <dsp:txXfrm rot="-20700000">
        <a:off x="2564434" y="342972"/>
        <a:ext cx="711542" cy="680547"/>
      </dsp:txXfrm>
    </dsp:sp>
    <dsp:sp modelId="{88263667-B11B-41DC-A329-03EF5B742CC8}">
      <dsp:nvSpPr>
        <dsp:cNvPr id="0" name=""/>
        <dsp:cNvSpPr/>
      </dsp:nvSpPr>
      <dsp:spPr>
        <a:xfrm>
          <a:off x="2533608" y="1022775"/>
          <a:ext cx="1830628" cy="1830628"/>
        </a:xfrm>
        <a:prstGeom prst="circularArrow">
          <a:avLst>
            <a:gd name="adj1" fmla="val 4688"/>
            <a:gd name="adj2" fmla="val 299029"/>
            <a:gd name="adj3" fmla="val 2459990"/>
            <a:gd name="adj4" fmla="val 15988082"/>
            <a:gd name="adj5" fmla="val 5469"/>
          </a:avLst>
        </a:prstGeom>
        <a:solidFill>
          <a:srgbClr val="78B4AD"/>
        </a:solidFill>
        <a:ln>
          <a:noFill/>
        </a:ln>
        <a:effectLst/>
      </dsp:spPr>
      <dsp:style>
        <a:lnRef idx="0">
          <a:scrgbClr r="0" g="0" b="0"/>
        </a:lnRef>
        <a:fillRef idx="1">
          <a:scrgbClr r="0" g="0" b="0"/>
        </a:fillRef>
        <a:effectRef idx="0">
          <a:scrgbClr r="0" g="0" b="0"/>
        </a:effectRef>
        <a:fontRef idx="minor">
          <a:schemeClr val="lt1"/>
        </a:fontRef>
      </dsp:style>
    </dsp:sp>
    <dsp:sp modelId="{09385F6C-3481-4EBB-AD98-662CE33D81A1}">
      <dsp:nvSpPr>
        <dsp:cNvPr id="0" name=""/>
        <dsp:cNvSpPr/>
      </dsp:nvSpPr>
      <dsp:spPr>
        <a:xfrm>
          <a:off x="1334291" y="1031705"/>
          <a:ext cx="1330066" cy="1330066"/>
        </a:xfrm>
        <a:prstGeom prst="leftCircularArrow">
          <a:avLst>
            <a:gd name="adj1" fmla="val 6452"/>
            <a:gd name="adj2" fmla="val 429999"/>
            <a:gd name="adj3" fmla="val 10489124"/>
            <a:gd name="adj4" fmla="val 14837806"/>
            <a:gd name="adj5" fmla="val 7527"/>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sp>
    <dsp:sp modelId="{C2697E07-2FB5-4E37-9E87-7CF818C273F0}">
      <dsp:nvSpPr>
        <dsp:cNvPr id="0" name=""/>
        <dsp:cNvSpPr/>
      </dsp:nvSpPr>
      <dsp:spPr>
        <a:xfrm>
          <a:off x="2074301" y="-42694"/>
          <a:ext cx="1434079" cy="1434079"/>
        </a:xfrm>
        <a:prstGeom prst="circularArrow">
          <a:avLst>
            <a:gd name="adj1" fmla="val 5984"/>
            <a:gd name="adj2" fmla="val 394124"/>
            <a:gd name="adj3" fmla="val 13313824"/>
            <a:gd name="adj4" fmla="val 10508221"/>
            <a:gd name="adj5" fmla="val 6981"/>
          </a:avLst>
        </a:prstGeom>
        <a:solidFill>
          <a:srgbClr val="FFC000"/>
        </a:solidFill>
        <a:ln>
          <a:solidFill>
            <a:srgbClr val="FFC000"/>
          </a:solid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539DA-6554-4741-BF7D-C4829601A5C3}">
      <dsp:nvSpPr>
        <dsp:cNvPr id="0" name=""/>
        <dsp:cNvSpPr/>
      </dsp:nvSpPr>
      <dsp:spPr>
        <a:xfrm>
          <a:off x="2659221" y="1256866"/>
          <a:ext cx="1440656" cy="1440656"/>
        </a:xfrm>
        <a:prstGeom prst="gear9">
          <a:avLst/>
        </a:prstGeom>
        <a:solidFill>
          <a:srgbClr val="78B4A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职业期待吻合度</a:t>
          </a:r>
          <a:r>
            <a:rPr lang="en-US" sz="1000" kern="1200">
              <a:latin typeface="微软雅黑" panose="020B0503020204020204" pitchFamily="34" charset="-122"/>
              <a:ea typeface="微软雅黑" panose="020B0503020204020204" pitchFamily="34" charset="-122"/>
            </a:rPr>
            <a:t>88.58%</a:t>
          </a:r>
          <a:endParaRPr lang="zh-CN" altLang="en-US" sz="1000" kern="1200">
            <a:latin typeface="微软雅黑" panose="020B0503020204020204" pitchFamily="34" charset="-122"/>
            <a:ea typeface="微软雅黑" panose="020B0503020204020204" pitchFamily="34" charset="-122"/>
          </a:endParaRPr>
        </a:p>
      </dsp:txBody>
      <dsp:txXfrm>
        <a:off x="2948857" y="1594333"/>
        <a:ext cx="861384" cy="740527"/>
      </dsp:txXfrm>
    </dsp:sp>
    <dsp:sp modelId="{D28FFC6E-27DD-431D-80E2-8741F30B8D5A}">
      <dsp:nvSpPr>
        <dsp:cNvPr id="0" name=""/>
        <dsp:cNvSpPr/>
      </dsp:nvSpPr>
      <dsp:spPr>
        <a:xfrm>
          <a:off x="1467898" y="1152971"/>
          <a:ext cx="1454444" cy="1396923"/>
        </a:xfrm>
        <a:prstGeom prst="gear6">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工作满意度</a:t>
          </a:r>
          <a:r>
            <a:rPr lang="en-US" sz="1000" kern="1200">
              <a:latin typeface="微软雅黑" panose="020B0503020204020204" pitchFamily="34" charset="-122"/>
              <a:ea typeface="微软雅黑" panose="020B0503020204020204" pitchFamily="34" charset="-122"/>
            </a:rPr>
            <a:t>91.74%</a:t>
          </a:r>
          <a:endParaRPr lang="zh-CN" altLang="en-US" sz="1000" kern="1200">
            <a:latin typeface="微软雅黑" panose="020B0503020204020204" pitchFamily="34" charset="-122"/>
            <a:ea typeface="微软雅黑" panose="020B0503020204020204" pitchFamily="34" charset="-122"/>
          </a:endParaRPr>
        </a:p>
      </dsp:txBody>
      <dsp:txXfrm>
        <a:off x="1827939" y="1506776"/>
        <a:ext cx="734362" cy="689313"/>
      </dsp:txXfrm>
    </dsp:sp>
    <dsp:sp modelId="{A24C0F7D-71A5-4321-89C9-A1CB623B1AA6}">
      <dsp:nvSpPr>
        <dsp:cNvPr id="0" name=""/>
        <dsp:cNvSpPr/>
      </dsp:nvSpPr>
      <dsp:spPr>
        <a:xfrm rot="20700000">
          <a:off x="2217443" y="82722"/>
          <a:ext cx="1407431" cy="1248149"/>
        </a:xfrm>
        <a:prstGeom prst="gear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chemeClr val="bg1"/>
              </a:solidFill>
              <a:latin typeface="微软雅黑" panose="020B0503020204020204" pitchFamily="34" charset="-122"/>
              <a:ea typeface="微软雅黑" panose="020B0503020204020204" pitchFamily="34" charset="-122"/>
            </a:rPr>
            <a:t>专业对口度</a:t>
          </a:r>
          <a:r>
            <a:rPr lang="x-none" sz="1000" kern="1200">
              <a:latin typeface="微软雅黑" panose="020B0503020204020204" pitchFamily="34" charset="-122"/>
              <a:ea typeface="微软雅黑" panose="020B0503020204020204" pitchFamily="34" charset="-122"/>
            </a:rPr>
            <a:t>83.48%</a:t>
          </a:r>
          <a:endParaRPr lang="zh-CN" altLang="en-US" sz="1000" kern="1200">
            <a:latin typeface="微软雅黑" panose="020B0503020204020204" pitchFamily="34" charset="-122"/>
            <a:ea typeface="微软雅黑" panose="020B0503020204020204" pitchFamily="34" charset="-122"/>
          </a:endParaRPr>
        </a:p>
      </dsp:txBody>
      <dsp:txXfrm rot="-20700000">
        <a:off x="2535581" y="347031"/>
        <a:ext cx="771154" cy="719532"/>
      </dsp:txXfrm>
    </dsp:sp>
    <dsp:sp modelId="{88263667-B11B-41DC-A329-03EF5B742CC8}">
      <dsp:nvSpPr>
        <dsp:cNvPr id="0" name=""/>
        <dsp:cNvSpPr/>
      </dsp:nvSpPr>
      <dsp:spPr>
        <a:xfrm>
          <a:off x="2532033" y="1048646"/>
          <a:ext cx="1844040" cy="1844040"/>
        </a:xfrm>
        <a:prstGeom prst="circularArrow">
          <a:avLst>
            <a:gd name="adj1" fmla="val 4688"/>
            <a:gd name="adj2" fmla="val 299029"/>
            <a:gd name="adj3" fmla="val 2460988"/>
            <a:gd name="adj4" fmla="val 15985718"/>
            <a:gd name="adj5" fmla="val 5469"/>
          </a:avLst>
        </a:prstGeom>
        <a:solidFill>
          <a:srgbClr val="78B4AD"/>
        </a:solidFill>
        <a:ln>
          <a:noFill/>
        </a:ln>
        <a:effectLst/>
      </dsp:spPr>
      <dsp:style>
        <a:lnRef idx="0">
          <a:scrgbClr r="0" g="0" b="0"/>
        </a:lnRef>
        <a:fillRef idx="1">
          <a:scrgbClr r="0" g="0" b="0"/>
        </a:fillRef>
        <a:effectRef idx="0">
          <a:scrgbClr r="0" g="0" b="0"/>
        </a:effectRef>
        <a:fontRef idx="minor">
          <a:schemeClr val="lt1"/>
        </a:fontRef>
      </dsp:style>
    </dsp:sp>
    <dsp:sp modelId="{09385F6C-3481-4EBB-AD98-662CE33D81A1}">
      <dsp:nvSpPr>
        <dsp:cNvPr id="0" name=""/>
        <dsp:cNvSpPr/>
      </dsp:nvSpPr>
      <dsp:spPr>
        <a:xfrm>
          <a:off x="1323625" y="1057676"/>
          <a:ext cx="1339810" cy="1339810"/>
        </a:xfrm>
        <a:prstGeom prst="leftCircularArrow">
          <a:avLst>
            <a:gd name="adj1" fmla="val 6452"/>
            <a:gd name="adj2" fmla="val 429999"/>
            <a:gd name="adj3" fmla="val 10489124"/>
            <a:gd name="adj4" fmla="val 14837806"/>
            <a:gd name="adj5" fmla="val 7527"/>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sp>
    <dsp:sp modelId="{C2697E07-2FB5-4E37-9E87-7CF818C273F0}">
      <dsp:nvSpPr>
        <dsp:cNvPr id="0" name=""/>
        <dsp:cNvSpPr/>
      </dsp:nvSpPr>
      <dsp:spPr>
        <a:xfrm>
          <a:off x="2069057" y="-24594"/>
          <a:ext cx="1444585" cy="1444585"/>
        </a:xfrm>
        <a:prstGeom prst="circularArrow">
          <a:avLst>
            <a:gd name="adj1" fmla="val 5984"/>
            <a:gd name="adj2" fmla="val 394124"/>
            <a:gd name="adj3" fmla="val 13313824"/>
            <a:gd name="adj4" fmla="val 10508221"/>
            <a:gd name="adj5" fmla="val 6981"/>
          </a:avLst>
        </a:prstGeom>
        <a:solidFill>
          <a:srgbClr val="FFC000"/>
        </a:solidFill>
        <a:ln>
          <a:solidFill>
            <a:srgbClr val="FFC000"/>
          </a:solid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type="gear6" r:blip="" rot="-15">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srcNode" val="gear1srcNode"/>
          <dgm:param type="dstNode" val="gear1dstNode"/>
          <dgm:param type="connRout" val="curv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srcNode" val="gear2srcNode"/>
          <dgm:param type="dstNode" val="gear2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srcNode" val="gear3srcNode"/>
          <dgm:param type="dstNode" val="gear3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type="gear6" r:blip="" rot="-15">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srcNode" val="gear1srcNode"/>
          <dgm:param type="dstNode" val="gear1dstNode"/>
          <dgm:param type="connRout" val="curv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srcNode" val="gear2srcNode"/>
          <dgm:param type="dstNode" val="gear2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srcNode" val="gear3srcNode"/>
          <dgm:param type="dstNode" val="gear3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0.4486</cdr:x>
      <cdr:y>0.37476</cdr:y>
    </cdr:from>
    <cdr:to>
      <cdr:x>0.65109</cdr:x>
      <cdr:y>0.61087</cdr:y>
    </cdr:to>
    <cdr:sp>
      <cdr:nvSpPr>
        <cdr:cNvPr id="2" name="矩形 1"/>
        <cdr:cNvSpPr/>
      </cdr:nvSpPr>
      <cdr:spPr xmlns:a="http://schemas.openxmlformats.org/drawingml/2006/main">
        <a:xfrm xmlns:a="http://schemas.openxmlformats.org/drawingml/2006/main">
          <a:off x="1371593" y="656797"/>
          <a:ext cx="619132" cy="413806"/>
        </a:xfrm>
        <a:prstGeom xmlns:a="http://schemas.openxmlformats.org/drawingml/2006/main" prst="rect">
          <a:avLst/>
        </a:prstGeom>
        <a:noFill/>
        <a:ln w="6350">
          <a:noFill/>
        </a:ln>
        <a:effectLst/>
      </cdr:spPr>
      <cdr:txBody xmlns:a="http://schemas.openxmlformats.org/drawingml/2006/main">
        <a:bodyPr rot="0" spcFirstLastPara="0" vert="horz" wrap="square" lIns="91440" tIns="45720" rIns="91440" bIns="45720" numCol="1" spcCol="0" rtlCol="0" fromWordArt="0" anchor="t" anchorCtr="0" forceAA="0" compatLnSpc="1">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zh-CN" altLang="en-US" sz="1200" b="1">
              <a:solidFill>
                <a:schemeClr val="accent1"/>
              </a:solidFill>
            </a:rPr>
            <a:t>省内生源</a:t>
          </a:r>
          <a:endParaRPr lang="zh-CN" altLang="en-US" sz="1200" b="1">
            <a:solidFill>
              <a:schemeClr val="accent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0.4348</cdr:x>
      <cdr:y>0.3946</cdr:y>
    </cdr:from>
    <cdr:to>
      <cdr:x>0.59422</cdr:x>
      <cdr:y>0.63071</cdr:y>
    </cdr:to>
    <cdr:sp>
      <cdr:nvSpPr>
        <cdr:cNvPr id="2" name="矩形 1"/>
        <cdr:cNvSpPr/>
      </cdr:nvSpPr>
      <cdr:spPr xmlns:a="http://schemas.openxmlformats.org/drawingml/2006/main">
        <a:xfrm xmlns:a="http://schemas.openxmlformats.org/drawingml/2006/main">
          <a:off x="1358415" y="751716"/>
          <a:ext cx="498060" cy="449790"/>
        </a:xfrm>
        <a:prstGeom xmlns:a="http://schemas.openxmlformats.org/drawingml/2006/main" prst="rect">
          <a:avLst/>
        </a:prstGeom>
        <a:noFill/>
        <a:ln w="6350">
          <a:noFill/>
        </a:ln>
        <a:effectLst/>
      </cdr:spPr>
      <cdr:txBody xmlns:a="http://schemas.openxmlformats.org/drawingml/2006/main">
        <a:bodyPr rot="0" spcFirstLastPara="0" vert="horz" wrap="square" lIns="91440" tIns="45720" rIns="91440" bIns="45720" numCol="1" spcCol="0" rtlCol="0" fromWordArt="0" anchor="t" anchorCtr="0" forceAA="0" compatLnSpc="1">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zh-CN" altLang="en-US" sz="1200" b="1">
              <a:solidFill>
                <a:schemeClr val="accent1"/>
              </a:solidFill>
            </a:rPr>
            <a:t>省外生源</a:t>
          </a:r>
          <a:endParaRPr lang="zh-CN" altLang="en-US" sz="1200" b="1">
            <a:solidFill>
              <a:schemeClr val="accent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0.4486</cdr:x>
      <cdr:y>0.37476</cdr:y>
    </cdr:from>
    <cdr:to>
      <cdr:x>0.7134</cdr:x>
      <cdr:y>0.61087</cdr:y>
    </cdr:to>
    <cdr:sp>
      <cdr:nvSpPr>
        <cdr:cNvPr id="2" name="矩形 1"/>
        <cdr:cNvSpPr/>
      </cdr:nvSpPr>
      <cdr:spPr xmlns:a="http://schemas.openxmlformats.org/drawingml/2006/main">
        <a:xfrm xmlns:a="http://schemas.openxmlformats.org/drawingml/2006/main">
          <a:off x="1371605" y="674414"/>
          <a:ext cx="809619" cy="424902"/>
        </a:xfrm>
        <a:prstGeom xmlns:a="http://schemas.openxmlformats.org/drawingml/2006/main" prst="rect">
          <a:avLst/>
        </a:prstGeom>
        <a:noFill/>
        <a:ln w="6350">
          <a:noFill/>
        </a:ln>
        <a:effectLst/>
      </cdr:spPr>
      <cdr:txBody xmlns:a="http://schemas.openxmlformats.org/drawingml/2006/main">
        <a:bodyPr rot="0" spcFirstLastPara="0" vert="horz" wrap="square" lIns="91440" tIns="45720" rIns="91440" bIns="45720" numCol="1" spcCol="0" rtlCol="0" fromWordArt="0" anchor="t" anchorCtr="0" forceAA="0" compatLnSpc="1">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zh-CN" altLang="en-US" sz="1200" b="1">
              <a:solidFill>
                <a:schemeClr val="accent1"/>
              </a:solidFill>
            </a:rPr>
            <a:t>荆门市</a:t>
          </a:r>
          <a:endParaRPr lang="en-US" altLang="zh-CN" sz="1200" b="1">
            <a:solidFill>
              <a:schemeClr val="accent1"/>
            </a:solidFill>
          </a:endParaRPr>
        </a:p>
        <a:p>
          <a:r>
            <a:rPr lang="zh-CN" altLang="en-US" sz="1200" b="1">
              <a:solidFill>
                <a:schemeClr val="accent1"/>
              </a:solidFill>
            </a:rPr>
            <a:t>  生源</a:t>
          </a:r>
          <a:endParaRPr lang="zh-CN" altLang="en-US" sz="1200" b="1">
            <a:solidFill>
              <a:schemeClr val="accent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0.16226</cdr:x>
      <cdr:y>0.01877</cdr:y>
    </cdr:from>
    <cdr:to>
      <cdr:x>0.32354</cdr:x>
      <cdr:y>0.13032</cdr:y>
    </cdr:to>
    <cdr:grpSp>
      <cdr:nvGrpSpPr>
        <cdr:cNvPr id="2" name="组合 1"/>
        <cdr:cNvGrpSpPr/>
      </cdr:nvGrpSpPr>
      <cdr:grpSpPr xmlns:a="http://schemas.openxmlformats.org/drawingml/2006/main">
        <a:xfrm>
          <a:off x="897127" y="72765"/>
          <a:ext cx="891708" cy="432443"/>
          <a:chOff x="-45940396" y="-59649621"/>
          <a:chExt cx="834377" cy="2794001"/>
        </a:xfrm>
        <a:solidFill>
          <a:srgbClr val="4BACC6"/>
        </a:solidFill>
      </cdr:grpSpPr>
      <cdr:sp>
        <cdr:nvSpPr>
          <cdr:cNvPr id="3" name="椭圆 2"/>
          <cdr:cNvSpPr/>
        </cdr:nvSpPr>
        <cdr:spPr xmlns:a="http://schemas.openxmlformats.org/drawingml/2006/main">
          <a:xfrm xmlns:a="http://schemas.openxmlformats.org/drawingml/2006/main">
            <a:off x="-45940396" y="-59649621"/>
            <a:ext cx="834377" cy="2794001"/>
          </a:xfrm>
          <a:prstGeom xmlns:a="http://schemas.openxmlformats.org/drawingml/2006/main" prst="ellipse">
            <a:avLst/>
          </a:prstGeom>
          <a:solidFill>
            <a:schemeClr val="accent1"/>
          </a:solid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solidFill>
                <a:srgbClr val="4BACC6"/>
              </a:solidFill>
            </a:endParaRPr>
          </a:p>
        </cdr:txBody>
      </cdr:sp>
      <cdr:sp>
        <cdr:nvSpPr>
          <cdr:cNvPr id="4" name="矩形 3"/>
          <cdr:cNvSpPr/>
        </cdr:nvSpPr>
        <cdr:spPr xmlns:a="http://schemas.openxmlformats.org/drawingml/2006/main">
          <a:xfrm xmlns:a="http://schemas.openxmlformats.org/drawingml/2006/main">
            <a:off x="-45829730" y="-59228580"/>
            <a:ext cx="561383" cy="1509631"/>
          </a:xfrm>
          <a:prstGeom xmlns:a="http://schemas.openxmlformats.org/drawingml/2006/main" prst="rect">
            <a:avLst/>
          </a:prstGeom>
          <a:solidFill>
            <a:schemeClr val="accent1"/>
          </a:solid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本科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dr:relSizeAnchor xmlns:cdr="http://schemas.openxmlformats.org/drawingml/2006/chartDrawing">
    <cdr:from>
      <cdr:x>0.69979</cdr:x>
      <cdr:y>0.01099</cdr:y>
    </cdr:from>
    <cdr:to>
      <cdr:x>0.86107</cdr:x>
      <cdr:y>0.12255</cdr:y>
    </cdr:to>
    <cdr:grpSp>
      <cdr:nvGrpSpPr>
        <cdr:cNvPr id="5" name="组合 4"/>
        <cdr:cNvGrpSpPr/>
      </cdr:nvGrpSpPr>
      <cdr:grpSpPr xmlns:a="http://schemas.openxmlformats.org/drawingml/2006/main">
        <a:xfrm>
          <a:off x="3869100" y="42605"/>
          <a:ext cx="891708" cy="432482"/>
          <a:chOff x="-85348456" y="-149642563"/>
          <a:chExt cx="613126" cy="3908463"/>
        </a:xfrm>
        <a:solidFill>
          <a:schemeClr val="accent3"/>
        </a:solidFill>
      </cdr:grpSpPr>
      <cdr:sp>
        <cdr:nvSpPr>
          <cdr:cNvPr id="6" name="椭圆 5"/>
          <cdr:cNvSpPr/>
        </cdr:nvSpPr>
        <cdr:spPr xmlns:a="http://schemas.openxmlformats.org/drawingml/2006/main">
          <a:xfrm xmlns:a="http://schemas.openxmlformats.org/drawingml/2006/main">
            <a:off x="-85348456" y="-149642563"/>
            <a:ext cx="613126" cy="3908463"/>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cdr:txBody>
      </cdr:sp>
      <cdr:sp>
        <cdr:nvSpPr>
          <cdr:cNvPr id="7" name="矩形 6"/>
          <cdr:cNvSpPr/>
        </cdr:nvSpPr>
        <cdr:spPr xmlns:a="http://schemas.openxmlformats.org/drawingml/2006/main">
          <a:xfrm xmlns:a="http://schemas.openxmlformats.org/drawingml/2006/main">
            <a:off x="-85290919" y="-148823970"/>
            <a:ext cx="486727" cy="2291169"/>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专科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0.16226</cdr:x>
      <cdr:y>0.01877</cdr:y>
    </cdr:from>
    <cdr:to>
      <cdr:x>0.32354</cdr:x>
      <cdr:y>0.13032</cdr:y>
    </cdr:to>
    <cdr:grpSp>
      <cdr:nvGrpSpPr>
        <cdr:cNvPr id="2" name="组合 1"/>
        <cdr:cNvGrpSpPr/>
      </cdr:nvGrpSpPr>
      <cdr:grpSpPr xmlns:a="http://schemas.openxmlformats.org/drawingml/2006/main">
        <a:xfrm>
          <a:off x="910315" y="77414"/>
          <a:ext cx="904817" cy="460068"/>
          <a:chOff x="-45940396" y="-59649621"/>
          <a:chExt cx="834377" cy="2794001"/>
        </a:xfrm>
        <a:solidFill>
          <a:schemeClr val="accent1"/>
        </a:solidFill>
      </cdr:grpSpPr>
      <cdr:sp>
        <cdr:nvSpPr>
          <cdr:cNvPr id="3" name="椭圆 2"/>
          <cdr:cNvSpPr/>
        </cdr:nvSpPr>
        <cdr:spPr xmlns:a="http://schemas.openxmlformats.org/drawingml/2006/main">
          <a:xfrm xmlns:a="http://schemas.openxmlformats.org/drawingml/2006/main">
            <a:off x="-45940396" y="-59649621"/>
            <a:ext cx="834377" cy="2794001"/>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solidFill>
                <a:srgbClr val="4BACC6"/>
              </a:solidFill>
            </a:endParaRPr>
          </a:p>
        </cdr:txBody>
      </cdr:sp>
      <cdr:sp>
        <cdr:nvSpPr>
          <cdr:cNvPr id="4" name="矩形 3"/>
          <cdr:cNvSpPr/>
        </cdr:nvSpPr>
        <cdr:spPr xmlns:a="http://schemas.openxmlformats.org/drawingml/2006/main">
          <a:xfrm xmlns:a="http://schemas.openxmlformats.org/drawingml/2006/main">
            <a:off x="-45829730" y="-59228580"/>
            <a:ext cx="561383" cy="1509631"/>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本科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dr:relSizeAnchor xmlns:cdr="http://schemas.openxmlformats.org/drawingml/2006/chartDrawing">
    <cdr:from>
      <cdr:x>0.69979</cdr:x>
      <cdr:y>0.01099</cdr:y>
    </cdr:from>
    <cdr:to>
      <cdr:x>0.86107</cdr:x>
      <cdr:y>0.12255</cdr:y>
    </cdr:to>
    <cdr:grpSp>
      <cdr:nvGrpSpPr>
        <cdr:cNvPr id="5" name="组合 4"/>
        <cdr:cNvGrpSpPr/>
      </cdr:nvGrpSpPr>
      <cdr:grpSpPr xmlns:a="http://schemas.openxmlformats.org/drawingml/2006/main">
        <a:xfrm>
          <a:off x="3925979" y="45326"/>
          <a:ext cx="904817" cy="460110"/>
          <a:chOff x="-85348456" y="-149642563"/>
          <a:chExt cx="613126" cy="3908463"/>
        </a:xfrm>
        <a:solidFill>
          <a:schemeClr val="accent3"/>
        </a:solidFill>
      </cdr:grpSpPr>
      <cdr:sp>
        <cdr:nvSpPr>
          <cdr:cNvPr id="6" name="椭圆 5"/>
          <cdr:cNvSpPr/>
        </cdr:nvSpPr>
        <cdr:spPr xmlns:a="http://schemas.openxmlformats.org/drawingml/2006/main">
          <a:xfrm xmlns:a="http://schemas.openxmlformats.org/drawingml/2006/main">
            <a:off x="-85348456" y="-149642563"/>
            <a:ext cx="613126" cy="3908463"/>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cdr:txBody>
      </cdr:sp>
      <cdr:sp>
        <cdr:nvSpPr>
          <cdr:cNvPr id="7" name="矩形 6"/>
          <cdr:cNvSpPr/>
        </cdr:nvSpPr>
        <cdr:spPr xmlns:a="http://schemas.openxmlformats.org/drawingml/2006/main">
          <a:xfrm xmlns:a="http://schemas.openxmlformats.org/drawingml/2006/main">
            <a:off x="-85290919" y="-148823970"/>
            <a:ext cx="486727" cy="2291169"/>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专科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0.73582</cdr:x>
      <cdr:y>0.04606</cdr:y>
    </cdr:from>
    <cdr:to>
      <cdr:x>0.89627</cdr:x>
      <cdr:y>0.17045</cdr:y>
    </cdr:to>
    <cdr:grpSp>
      <cdr:nvGrpSpPr>
        <cdr:cNvPr id="2" name="组合 1"/>
        <cdr:cNvGrpSpPr/>
      </cdr:nvGrpSpPr>
      <cdr:grpSpPr xmlns:a="http://schemas.openxmlformats.org/drawingml/2006/main">
        <a:xfrm>
          <a:off x="4324359" y="154430"/>
          <a:ext cx="942953" cy="417055"/>
          <a:chOff x="-46696940" y="-34765294"/>
          <a:chExt cx="795534" cy="1186190"/>
        </a:xfrm>
        <a:solidFill>
          <a:schemeClr val="accent3"/>
        </a:solidFill>
      </cdr:grpSpPr>
      <cdr:sp>
        <cdr:nvSpPr>
          <cdr:cNvPr id="3" name="椭圆 2"/>
          <cdr:cNvSpPr/>
        </cdr:nvSpPr>
        <cdr:spPr xmlns:a="http://schemas.openxmlformats.org/drawingml/2006/main">
          <a:xfrm xmlns:a="http://schemas.openxmlformats.org/drawingml/2006/main">
            <a:off x="-46696940" y="-34765294"/>
            <a:ext cx="795534" cy="1186190"/>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cdr:txBody>
      </cdr:sp>
      <cdr:sp>
        <cdr:nvSpPr>
          <cdr:cNvPr id="4" name="矩形 3"/>
          <cdr:cNvSpPr/>
        </cdr:nvSpPr>
        <cdr:spPr xmlns:a="http://schemas.openxmlformats.org/drawingml/2006/main">
          <a:xfrm xmlns:a="http://schemas.openxmlformats.org/drawingml/2006/main">
            <a:off x="-46571170" y="-34573702"/>
            <a:ext cx="573484" cy="695353"/>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专科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dr:relSizeAnchor xmlns:cdr="http://schemas.openxmlformats.org/drawingml/2006/chartDrawing">
    <cdr:from>
      <cdr:x>0.1401</cdr:x>
      <cdr:y>0.04088</cdr:y>
    </cdr:from>
    <cdr:to>
      <cdr:x>0.30186</cdr:x>
      <cdr:y>0.1733</cdr:y>
    </cdr:to>
    <cdr:grpSp>
      <cdr:nvGrpSpPr>
        <cdr:cNvPr id="5" name="组合 4"/>
        <cdr:cNvGrpSpPr/>
      </cdr:nvGrpSpPr>
      <cdr:grpSpPr xmlns:a="http://schemas.openxmlformats.org/drawingml/2006/main">
        <a:xfrm>
          <a:off x="823357" y="137062"/>
          <a:ext cx="950651" cy="443978"/>
          <a:chOff x="-23584165" y="-15685458"/>
          <a:chExt cx="928482" cy="1002916"/>
        </a:xfrm>
        <a:solidFill>
          <a:schemeClr val="accent1"/>
        </a:solidFill>
      </cdr:grpSpPr>
      <cdr:sp>
        <cdr:nvSpPr>
          <cdr:cNvPr id="6" name="椭圆 5"/>
          <cdr:cNvSpPr/>
        </cdr:nvSpPr>
        <cdr:spPr xmlns:a="http://schemas.openxmlformats.org/drawingml/2006/main">
          <a:xfrm xmlns:a="http://schemas.openxmlformats.org/drawingml/2006/main">
            <a:off x="-23584165" y="-15685458"/>
            <a:ext cx="928482" cy="1002916"/>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solidFill>
                <a:srgbClr val="4BACC6"/>
              </a:solidFill>
            </a:endParaRPr>
          </a:p>
        </cdr:txBody>
      </cdr:sp>
      <cdr:sp>
        <cdr:nvSpPr>
          <cdr:cNvPr id="7" name="矩形 6"/>
          <cdr:cNvSpPr/>
        </cdr:nvSpPr>
        <cdr:spPr xmlns:a="http://schemas.openxmlformats.org/drawingml/2006/main">
          <a:xfrm xmlns:a="http://schemas.openxmlformats.org/drawingml/2006/main">
            <a:off x="-23461018" y="-15534324"/>
            <a:ext cx="624698" cy="541887"/>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本科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0.67787</cdr:x>
      <cdr:y>0.01927</cdr:y>
    </cdr:from>
    <cdr:to>
      <cdr:x>0.86392</cdr:x>
      <cdr:y>0.14082</cdr:y>
    </cdr:to>
    <cdr:grpSp>
      <cdr:nvGrpSpPr>
        <cdr:cNvPr id="2" name="组合 1"/>
        <cdr:cNvGrpSpPr/>
      </cdr:nvGrpSpPr>
      <cdr:grpSpPr xmlns:a="http://schemas.openxmlformats.org/drawingml/2006/main">
        <a:xfrm>
          <a:off x="3782772" y="64608"/>
          <a:ext cx="1038230" cy="407533"/>
          <a:chOff x="-46680998" y="-34765294"/>
          <a:chExt cx="795534" cy="1186190"/>
        </a:xfrm>
        <a:solidFill>
          <a:schemeClr val="accent3"/>
        </a:solidFill>
      </cdr:grpSpPr>
      <cdr:sp>
        <cdr:nvSpPr>
          <cdr:cNvPr id="3" name="椭圆 2"/>
          <cdr:cNvSpPr/>
        </cdr:nvSpPr>
        <cdr:spPr xmlns:a="http://schemas.openxmlformats.org/drawingml/2006/main">
          <a:xfrm xmlns:a="http://schemas.openxmlformats.org/drawingml/2006/main">
            <a:off x="-46680998" y="-34765294"/>
            <a:ext cx="795534" cy="1186190"/>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cdr:txBody>
      </cdr:sp>
      <cdr:sp>
        <cdr:nvSpPr>
          <cdr:cNvPr id="4" name="矩形 3"/>
          <cdr:cNvSpPr/>
        </cdr:nvSpPr>
        <cdr:spPr xmlns:a="http://schemas.openxmlformats.org/drawingml/2006/main">
          <a:xfrm xmlns:a="http://schemas.openxmlformats.org/drawingml/2006/main">
            <a:off x="-46571170" y="-34573702"/>
            <a:ext cx="573484" cy="695353"/>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专科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dr:relSizeAnchor xmlns:cdr="http://schemas.openxmlformats.org/drawingml/2006/chartDrawing">
    <cdr:from>
      <cdr:x>0.23248</cdr:x>
      <cdr:y>0.04088</cdr:y>
    </cdr:from>
    <cdr:to>
      <cdr:x>0.39424</cdr:x>
      <cdr:y>0.19477</cdr:y>
    </cdr:to>
    <cdr:grpSp>
      <cdr:nvGrpSpPr>
        <cdr:cNvPr id="5" name="组合 4"/>
        <cdr:cNvGrpSpPr/>
      </cdr:nvGrpSpPr>
      <cdr:grpSpPr xmlns:a="http://schemas.openxmlformats.org/drawingml/2006/main">
        <a:xfrm>
          <a:off x="1297327" y="137062"/>
          <a:ext cx="902682" cy="515962"/>
          <a:chOff x="-23584165" y="-15685458"/>
          <a:chExt cx="928482" cy="1002916"/>
        </a:xfrm>
        <a:solidFill>
          <a:schemeClr val="accent1"/>
        </a:solidFill>
      </cdr:grpSpPr>
      <cdr:sp>
        <cdr:nvSpPr>
          <cdr:cNvPr id="6" name="椭圆 5"/>
          <cdr:cNvSpPr/>
        </cdr:nvSpPr>
        <cdr:spPr xmlns:a="http://schemas.openxmlformats.org/drawingml/2006/main">
          <a:xfrm xmlns:a="http://schemas.openxmlformats.org/drawingml/2006/main">
            <a:off x="-23584165" y="-15685458"/>
            <a:ext cx="928482" cy="1002916"/>
          </a:xfrm>
          <a:prstGeom xmlns:a="http://schemas.openxmlformats.org/drawingml/2006/main" prst="ellipse">
            <a:avLst/>
          </a:prstGeom>
          <a:grp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solidFill>
                <a:srgbClr val="4BACC6"/>
              </a:solidFill>
            </a:endParaRPr>
          </a:p>
        </cdr:txBody>
      </cdr:sp>
      <cdr:sp>
        <cdr:nvSpPr>
          <cdr:cNvPr id="7" name="矩形 6"/>
          <cdr:cNvSpPr/>
        </cdr:nvSpPr>
        <cdr:spPr xmlns:a="http://schemas.openxmlformats.org/drawingml/2006/main">
          <a:xfrm xmlns:a="http://schemas.openxmlformats.org/drawingml/2006/main">
            <a:off x="-23461018" y="-15534324"/>
            <a:ext cx="624698" cy="541887"/>
          </a:xfrm>
          <a:prstGeom xmlns:a="http://schemas.openxmlformats.org/drawingml/2006/main" prst="rect">
            <a:avLst/>
          </a:prstGeom>
          <a:grpFill/>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Aft>
                <a:spcPts val="0"/>
              </a:spcAft>
            </a:pPr>
            <a:r>
              <a:rPr lang="zh-CN" altLang="en-US" sz="1000" b="1">
                <a:solidFill>
                  <a:schemeClr val="bg1"/>
                </a:solidFill>
                <a:effectLst/>
                <a:latin typeface="Calibri Light" panose="020F0302020204030204" pitchFamily="2" charset="0"/>
                <a:ea typeface="宋体" panose="02010600030101010101" charset="-122"/>
                <a:cs typeface="Times New Roman" panose="02020603050405020304" charset="0"/>
              </a:rPr>
              <a:t>本科</a:t>
            </a:r>
            <a:endParaRPr lang="zh-CN" sz="1000" b="1">
              <a:solidFill>
                <a:schemeClr val="bg1"/>
              </a:solidFill>
              <a:effectLst/>
              <a:latin typeface="Calibri Light" panose="020F0302020204030204" pitchFamily="2" charset="0"/>
              <a:ea typeface="宋体" panose="02010600030101010101" charset="-122"/>
              <a:cs typeface="Times New Roman" panose="02020603050405020304" charset="0"/>
            </a:endParaRPr>
          </a:p>
        </cdr:txBody>
      </cdr:sp>
    </cdr:grpSp>
  </cdr:relSizeAnchor>
</c:userShapes>
</file>

<file path=word/theme/theme1.xml><?xml version="1.0" encoding="utf-8"?>
<a:theme xmlns:a="http://schemas.openxmlformats.org/drawingml/2006/main" name="Office 主题">
  <a:themeElements>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1"/>
    <customShpInfo spid="_x0000_s1030"/>
    <customShpInfo spid="_x0000_s1029"/>
    <customShpInfo spid="_x0000_s1026" textRotate="1"/>
    <customShpInfo spid="_x0000_s1028"/>
    <customShpInfo spid="_x0000_s1027"/>
  </customShpExt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1AC2B-BD11-BB4B-AE3E-B3FB4F85480A}">
  <ds:schemaRefs/>
</ds:datastoreItem>
</file>

<file path=docProps/app.xml><?xml version="1.0" encoding="utf-8"?>
<Properties xmlns="http://schemas.openxmlformats.org/officeDocument/2006/extended-properties" xmlns:vt="http://schemas.openxmlformats.org/officeDocument/2006/docPropsVTypes">
  <Template>Normal.dotm</Template>
  <Company>http://sdwm.org</Company>
  <Pages>94</Pages>
  <Words>7965</Words>
  <Characters>45407</Characters>
  <Lines>378</Lines>
  <Paragraphs>106</Paragraphs>
  <TotalTime>11</TotalTime>
  <ScaleCrop>false</ScaleCrop>
  <LinksUpToDate>false</LinksUpToDate>
  <CharactersWithSpaces>53266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2022-01-10T03:25:00Z</dcterms:created>
  <dc:creator>SDWM</dc:creator>
  <cp:lastModifiedBy>御风而行</cp:lastModifiedBy>
  <cp:lastPrinted>2022-01-12T08:41:00Z</cp:lastPrinted>
  <dcterms:modified xsi:type="dcterms:W3CDTF">2022-01-12T08:56:47Z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44203345429C4CE589359C7A11B7120D</vt:lpwstr>
  </property>
</Properties>
</file>